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6E0137" w14:textId="6FF6E9C5" w:rsidR="00244ABE" w:rsidRPr="006B258D" w:rsidRDefault="00244ABE" w:rsidP="006D7BA8">
      <w:pPr>
        <w:shd w:val="clear" w:color="auto" w:fill="FFFFFF"/>
        <w:spacing w:before="100" w:beforeAutospacing="1" w:after="100" w:afterAutospacing="1" w:line="240" w:lineRule="auto"/>
        <w:jc w:val="both"/>
        <w:rPr>
          <w:rFonts w:ascii="Arial" w:eastAsia="Times New Roman" w:hAnsi="Arial" w:cs="Arial"/>
          <w:color w:val="333333"/>
          <w:lang w:eastAsia="fr-FR"/>
        </w:rPr>
      </w:pPr>
    </w:p>
    <w:p w14:paraId="12316E14" w14:textId="384D9597" w:rsidR="00244ABE" w:rsidRPr="00244ABE" w:rsidRDefault="001E0A42" w:rsidP="00E11AA2">
      <w:pPr>
        <w:shd w:val="clear" w:color="auto" w:fill="FFFFFF"/>
        <w:spacing w:before="100" w:beforeAutospacing="1" w:after="100" w:afterAutospacing="1" w:line="240" w:lineRule="auto"/>
        <w:jc w:val="center"/>
        <w:outlineLvl w:val="1"/>
        <w:rPr>
          <w:rFonts w:ascii="Arial" w:eastAsia="Times New Roman" w:hAnsi="Arial" w:cs="Arial"/>
          <w:b/>
          <w:color w:val="333333"/>
          <w:sz w:val="28"/>
          <w:lang w:eastAsia="fr-FR"/>
        </w:rPr>
      </w:pPr>
      <w:r w:rsidRPr="001E0A42">
        <w:rPr>
          <w:rFonts w:ascii="Arial" w:eastAsia="Times New Roman" w:hAnsi="Arial" w:cs="Arial"/>
          <w:b/>
          <w:color w:val="333333"/>
          <w:sz w:val="28"/>
          <w:lang w:eastAsia="fr-FR"/>
        </w:rPr>
        <w:t xml:space="preserve">ARVAL MOBILITY OBSERVATORY SOBRE </w:t>
      </w:r>
      <w:r w:rsidR="00E11AA2">
        <w:rPr>
          <w:rFonts w:ascii="Arial" w:eastAsia="Times New Roman" w:hAnsi="Arial" w:cs="Arial"/>
          <w:b/>
          <w:color w:val="333333"/>
          <w:sz w:val="28"/>
          <w:lang w:eastAsia="fr-FR"/>
        </w:rPr>
        <w:t xml:space="preserve">                                       </w:t>
      </w:r>
      <w:r w:rsidRPr="001E0A42">
        <w:rPr>
          <w:rFonts w:ascii="Arial" w:eastAsia="Times New Roman" w:hAnsi="Arial" w:cs="Arial"/>
          <w:b/>
          <w:color w:val="333333"/>
          <w:sz w:val="28"/>
          <w:lang w:eastAsia="fr-FR"/>
        </w:rPr>
        <w:t xml:space="preserve">LA MOVILIDAD DE LOS EMPLEADOS </w:t>
      </w:r>
    </w:p>
    <w:p w14:paraId="1EA49CF3" w14:textId="77777777" w:rsidR="00E02848" w:rsidRDefault="00E02848" w:rsidP="00E02848">
      <w:pPr>
        <w:shd w:val="clear" w:color="auto" w:fill="FFFFFF"/>
        <w:spacing w:after="0" w:line="240" w:lineRule="auto"/>
        <w:jc w:val="both"/>
        <w:rPr>
          <w:rFonts w:ascii="Arial" w:eastAsia="Times New Roman" w:hAnsi="Arial" w:cs="Arial"/>
          <w:b/>
          <w:bCs/>
          <w:color w:val="00A76C"/>
          <w:lang w:eastAsia="fr-FR"/>
        </w:rPr>
      </w:pPr>
    </w:p>
    <w:p w14:paraId="1FD51599" w14:textId="53B9EC21" w:rsidR="00F779CE" w:rsidRPr="001E0A42" w:rsidRDefault="003E5589" w:rsidP="00E02848">
      <w:pPr>
        <w:shd w:val="clear" w:color="auto" w:fill="FFFFFF"/>
        <w:spacing w:after="0" w:line="240" w:lineRule="auto"/>
        <w:jc w:val="both"/>
        <w:rPr>
          <w:rFonts w:ascii="Arial" w:eastAsia="Times New Roman" w:hAnsi="Arial" w:cs="Arial"/>
          <w:b/>
          <w:bCs/>
          <w:color w:val="333333"/>
          <w:lang w:eastAsia="fr-FR"/>
        </w:rPr>
      </w:pPr>
      <w:bookmarkStart w:id="0" w:name="_GoBack"/>
      <w:r w:rsidRPr="003E5589">
        <w:rPr>
          <w:rFonts w:ascii="Arial" w:eastAsia="Times New Roman" w:hAnsi="Arial" w:cs="Arial"/>
          <w:b/>
          <w:bCs/>
          <w:color w:val="00A76C"/>
          <w:lang w:eastAsia="fr-FR"/>
        </w:rPr>
        <w:t>Madrid, 8 de febrero de 2023.-</w:t>
      </w:r>
      <w:r>
        <w:rPr>
          <w:rFonts w:ascii="Arial" w:eastAsia="Times New Roman" w:hAnsi="Arial" w:cs="Arial"/>
          <w:b/>
          <w:bCs/>
          <w:color w:val="333333"/>
          <w:lang w:eastAsia="fr-FR"/>
        </w:rPr>
        <w:t xml:space="preserve"> </w:t>
      </w:r>
      <w:r w:rsidR="001E0A42" w:rsidRPr="001E0A42">
        <w:rPr>
          <w:rFonts w:ascii="Arial" w:eastAsia="Times New Roman" w:hAnsi="Arial" w:cs="Arial"/>
          <w:b/>
          <w:bCs/>
          <w:color w:val="333333"/>
          <w:lang w:eastAsia="fr-FR"/>
        </w:rPr>
        <w:t>El Arval Mobility Observatory ha llevado a cabo un estudio</w:t>
      </w:r>
      <w:r w:rsidR="001C58B4">
        <w:rPr>
          <w:rFonts w:ascii="Arial" w:eastAsia="Times New Roman" w:hAnsi="Arial" w:cs="Arial"/>
          <w:b/>
          <w:bCs/>
          <w:color w:val="333333"/>
          <w:lang w:eastAsia="fr-FR"/>
        </w:rPr>
        <w:t xml:space="preserve"> independiente</w:t>
      </w:r>
      <w:r w:rsidR="001E0A42" w:rsidRPr="001E0A42">
        <w:rPr>
          <w:rFonts w:ascii="Arial" w:eastAsia="Times New Roman" w:hAnsi="Arial" w:cs="Arial"/>
          <w:b/>
          <w:bCs/>
          <w:color w:val="333333"/>
          <w:lang w:eastAsia="fr-FR"/>
        </w:rPr>
        <w:t xml:space="preserve"> sobre la movilidad de los empleados, sus prácticas actuales y sus expectativas respecto a las ofertas de movilidad de sus empresas. Los datos de este estudio ponen de manifiesto, ente otros aspectos, que ofrecer soluciones de movilidad a los empleados es una forma de que atraer y retener talento de las empresas</w:t>
      </w:r>
      <w:r w:rsidR="00405C38" w:rsidRPr="001E0A42">
        <w:rPr>
          <w:rFonts w:ascii="Arial" w:eastAsia="Times New Roman" w:hAnsi="Arial" w:cs="Arial"/>
          <w:b/>
          <w:bCs/>
          <w:color w:val="333333"/>
          <w:lang w:eastAsia="fr-FR"/>
        </w:rPr>
        <w:t>.</w:t>
      </w:r>
    </w:p>
    <w:p w14:paraId="4CAA6174" w14:textId="77777777" w:rsidR="00F779CE" w:rsidRDefault="00F779CE" w:rsidP="00E02848">
      <w:pPr>
        <w:pStyle w:val="Prrafodelista"/>
        <w:shd w:val="clear" w:color="auto" w:fill="FFFFFF"/>
        <w:spacing w:after="0" w:line="240" w:lineRule="auto"/>
        <w:ind w:left="480"/>
        <w:jc w:val="both"/>
        <w:rPr>
          <w:rFonts w:ascii="Arial" w:eastAsia="Times New Roman" w:hAnsi="Arial" w:cs="Arial"/>
          <w:b/>
          <w:bCs/>
          <w:color w:val="333333"/>
          <w:lang w:eastAsia="fr-FR"/>
        </w:rPr>
      </w:pPr>
    </w:p>
    <w:p w14:paraId="19B47060" w14:textId="77777777" w:rsidR="006B258D" w:rsidRPr="006B258D" w:rsidRDefault="006B258D" w:rsidP="00E02848">
      <w:pPr>
        <w:shd w:val="clear" w:color="auto" w:fill="FFFFFF"/>
        <w:spacing w:after="0" w:line="240" w:lineRule="auto"/>
        <w:ind w:left="-240"/>
        <w:jc w:val="both"/>
        <w:rPr>
          <w:rFonts w:ascii="Arial" w:hAnsi="Arial" w:cs="Arial"/>
          <w:b/>
        </w:rPr>
      </w:pPr>
    </w:p>
    <w:p w14:paraId="52C60EFA" w14:textId="77777777" w:rsidR="001E0A42" w:rsidRDefault="001E0A42" w:rsidP="00E02848">
      <w:pPr>
        <w:jc w:val="both"/>
        <w:rPr>
          <w:rFonts w:ascii="BNPP Sans" w:hAnsi="BNPP Sans"/>
        </w:rPr>
      </w:pPr>
      <w:r w:rsidRPr="001E0A42">
        <w:rPr>
          <w:rFonts w:ascii="BNPP Sans" w:hAnsi="BNPP Sans"/>
        </w:rPr>
        <w:t>Realizado en colaboración con Ipsos, los datos de este estudio se han obtenido tras encuestar a más de 2.900 empleados de seis países europeos (500 de ellos, en España), en septiembre de 2022. Estas son sus principales conclusiones.</w:t>
      </w:r>
    </w:p>
    <w:p w14:paraId="57DA814F" w14:textId="13397965" w:rsidR="001E0A42" w:rsidRPr="001E0A42" w:rsidRDefault="001E0A42" w:rsidP="00E02848">
      <w:pPr>
        <w:jc w:val="both"/>
        <w:rPr>
          <w:rFonts w:ascii="BNPP Sans" w:hAnsi="BNPP Sans"/>
        </w:rPr>
      </w:pPr>
      <w:r w:rsidRPr="001E0A42">
        <w:rPr>
          <w:rFonts w:ascii="BNPP Sans" w:hAnsi="BNPP Sans"/>
        </w:rPr>
        <w:t xml:space="preserve"> </w:t>
      </w:r>
    </w:p>
    <w:p w14:paraId="27B81C4C" w14:textId="7E681F75" w:rsidR="001E0A42" w:rsidRPr="003E5589" w:rsidRDefault="00453FBA" w:rsidP="00E02848">
      <w:pPr>
        <w:pStyle w:val="Prrafodelista"/>
        <w:numPr>
          <w:ilvl w:val="0"/>
          <w:numId w:val="8"/>
        </w:numPr>
        <w:jc w:val="both"/>
        <w:rPr>
          <w:rFonts w:ascii="BNPP Sans" w:hAnsi="BNPP Sans"/>
          <w:b/>
          <w:color w:val="00A76C"/>
        </w:rPr>
      </w:pPr>
      <w:r w:rsidRPr="003E5589">
        <w:rPr>
          <w:rFonts w:ascii="BNPP Sans" w:hAnsi="BNPP Sans"/>
          <w:b/>
          <w:color w:val="00A76C"/>
        </w:rPr>
        <w:t xml:space="preserve">Sube el </w:t>
      </w:r>
      <w:r w:rsidR="001E0A42" w:rsidRPr="003E5589">
        <w:rPr>
          <w:rFonts w:ascii="BNPP Sans" w:hAnsi="BNPP Sans"/>
          <w:b/>
          <w:color w:val="00A76C"/>
        </w:rPr>
        <w:t>teletrabajo a</w:t>
      </w:r>
      <w:r w:rsidRPr="003E5589">
        <w:rPr>
          <w:rFonts w:ascii="BNPP Sans" w:hAnsi="BNPP Sans"/>
          <w:b/>
          <w:color w:val="00A76C"/>
        </w:rPr>
        <w:t xml:space="preserve"> </w:t>
      </w:r>
      <w:r w:rsidR="0057448E" w:rsidRPr="003E5589">
        <w:rPr>
          <w:rFonts w:ascii="BNPP Sans" w:hAnsi="BNPP Sans"/>
          <w:b/>
          <w:color w:val="00A76C"/>
        </w:rPr>
        <w:t xml:space="preserve">una media de </w:t>
      </w:r>
      <w:r w:rsidRPr="003E5589">
        <w:rPr>
          <w:rFonts w:ascii="BNPP Sans" w:hAnsi="BNPP Sans"/>
          <w:b/>
          <w:color w:val="00A76C"/>
        </w:rPr>
        <w:t>1,7 días a</w:t>
      </w:r>
      <w:r w:rsidR="001E0A42" w:rsidRPr="003E5589">
        <w:rPr>
          <w:rFonts w:ascii="BNPP Sans" w:hAnsi="BNPP Sans"/>
          <w:b/>
          <w:color w:val="00A76C"/>
        </w:rPr>
        <w:t xml:space="preserve"> la semana y</w:t>
      </w:r>
      <w:r w:rsidRPr="003E5589">
        <w:rPr>
          <w:rFonts w:ascii="BNPP Sans" w:hAnsi="BNPP Sans"/>
          <w:b/>
          <w:color w:val="00A76C"/>
        </w:rPr>
        <w:t xml:space="preserve"> el</w:t>
      </w:r>
      <w:r w:rsidR="001E0A42" w:rsidRPr="003E5589">
        <w:rPr>
          <w:rFonts w:ascii="BNPP Sans" w:hAnsi="BNPP Sans"/>
          <w:b/>
          <w:color w:val="00A76C"/>
        </w:rPr>
        <w:t xml:space="preserve"> coche como principal medio de transporte para desplazarse al trabajo</w:t>
      </w:r>
    </w:p>
    <w:p w14:paraId="503A7EB5" w14:textId="0CECECF1" w:rsidR="0057448E" w:rsidRDefault="001E0A42" w:rsidP="00E02848">
      <w:pPr>
        <w:jc w:val="both"/>
        <w:rPr>
          <w:rFonts w:ascii="BNPP Sans" w:hAnsi="BNPP Sans"/>
        </w:rPr>
      </w:pPr>
      <w:r w:rsidRPr="001E0A42">
        <w:rPr>
          <w:rFonts w:ascii="BNPP Sans" w:hAnsi="BNPP Sans"/>
        </w:rPr>
        <w:t>Siete de cada diez empleados españoles encuestados considera que la pandemia ha impactado directamente sus hábitos de movilidad. El cambio más destacado es el aumento del teletrabajo</w:t>
      </w:r>
      <w:r w:rsidR="0057448E">
        <w:rPr>
          <w:rFonts w:ascii="BNPP Sans" w:hAnsi="BNPP Sans"/>
        </w:rPr>
        <w:t xml:space="preserve">, que afecta a un 45% de los empleados. Como resultado, el 52% de los trabajadores (el 60% en la UE) teletrabajan al menos un día a la semana, con una media de 1,7 días en España (1,9 en la UE). </w:t>
      </w:r>
    </w:p>
    <w:p w14:paraId="1F52977E" w14:textId="77777777" w:rsidR="001E0A42" w:rsidRPr="001E0A42" w:rsidRDefault="001E0A42" w:rsidP="00E02848">
      <w:pPr>
        <w:jc w:val="both"/>
        <w:rPr>
          <w:rFonts w:ascii="BNPP Sans" w:hAnsi="BNPP Sans"/>
        </w:rPr>
      </w:pPr>
      <w:r w:rsidRPr="001E0A42">
        <w:rPr>
          <w:rFonts w:ascii="BNPP Sans" w:hAnsi="BNPP Sans"/>
        </w:rPr>
        <w:t xml:space="preserve">Sea cual sea el motivo de los desplazamientos, el coche sigue siendo el medio de transporte predominante para el 67% de los empleados españoles que se desplazan al trabajo (el 71% en la UE) y para el 49% entre los empleados en viajes de negocios, tanto en España como en la UE. El tiempo de viaje, la comodidad y la accesibilidad del medio de transporte son los principales criterios para elegir la forma de desplazarse al trabajo. </w:t>
      </w:r>
    </w:p>
    <w:p w14:paraId="647365B5" w14:textId="42887E44" w:rsidR="001E0A42" w:rsidRPr="001E0A42" w:rsidRDefault="001E0A42" w:rsidP="00E02848">
      <w:pPr>
        <w:jc w:val="both"/>
        <w:rPr>
          <w:rFonts w:ascii="BNPP Sans" w:hAnsi="BNPP Sans"/>
        </w:rPr>
      </w:pPr>
      <w:r w:rsidRPr="001E0A42">
        <w:rPr>
          <w:rFonts w:ascii="BNPP Sans" w:hAnsi="BNPP Sans"/>
        </w:rPr>
        <w:t xml:space="preserve">En España, el 86% de las empresas están ubicadas, principalmente, en áreas urbanas. El 63% de los </w:t>
      </w:r>
      <w:r w:rsidR="008B621B">
        <w:rPr>
          <w:rFonts w:ascii="BNPP Sans" w:hAnsi="BNPP Sans"/>
        </w:rPr>
        <w:t>encuestado</w:t>
      </w:r>
      <w:r w:rsidRPr="001E0A42">
        <w:rPr>
          <w:rFonts w:ascii="BNPP Sans" w:hAnsi="BNPP Sans"/>
        </w:rPr>
        <w:t xml:space="preserve"> recorre menos de 20 kilómetros</w:t>
      </w:r>
      <w:r w:rsidR="008B621B">
        <w:rPr>
          <w:rFonts w:ascii="BNPP Sans" w:hAnsi="BNPP Sans"/>
        </w:rPr>
        <w:t xml:space="preserve"> al trabajo;</w:t>
      </w:r>
      <w:r w:rsidRPr="001E0A42">
        <w:rPr>
          <w:rFonts w:ascii="BNPP Sans" w:hAnsi="BNPP Sans"/>
        </w:rPr>
        <w:t xml:space="preserve"> y el 67% emplea menos de 30 minutos en</w:t>
      </w:r>
      <w:r w:rsidR="008B621B">
        <w:rPr>
          <w:rFonts w:ascii="BNPP Sans" w:hAnsi="BNPP Sans"/>
        </w:rPr>
        <w:t xml:space="preserve"> ese desplazamiento</w:t>
      </w:r>
      <w:r w:rsidRPr="001E0A42">
        <w:rPr>
          <w:rFonts w:ascii="BNPP Sans" w:hAnsi="BNPP Sans"/>
        </w:rPr>
        <w:t xml:space="preserve"> (57 y 62%, respectivamente, en la UE). </w:t>
      </w:r>
    </w:p>
    <w:p w14:paraId="3A11BBD4" w14:textId="77777777" w:rsidR="001E0A42" w:rsidRPr="003E5589" w:rsidRDefault="001E0A42" w:rsidP="00E02848">
      <w:pPr>
        <w:jc w:val="both"/>
        <w:rPr>
          <w:rFonts w:ascii="BNPP Sans" w:hAnsi="BNPP Sans"/>
          <w:color w:val="00A76C"/>
        </w:rPr>
      </w:pPr>
    </w:p>
    <w:p w14:paraId="555F7D25" w14:textId="646AC197" w:rsidR="001E0A42" w:rsidRPr="003E5589" w:rsidRDefault="001E0A42" w:rsidP="00E02848">
      <w:pPr>
        <w:pStyle w:val="Prrafodelista"/>
        <w:numPr>
          <w:ilvl w:val="0"/>
          <w:numId w:val="8"/>
        </w:numPr>
        <w:jc w:val="both"/>
        <w:rPr>
          <w:rFonts w:ascii="BNPP Sans" w:hAnsi="BNPP Sans"/>
          <w:b/>
          <w:color w:val="00A76C"/>
        </w:rPr>
      </w:pPr>
      <w:r w:rsidRPr="003E5589">
        <w:rPr>
          <w:rFonts w:ascii="BNPP Sans" w:hAnsi="BNPP Sans"/>
          <w:b/>
          <w:color w:val="00A76C"/>
        </w:rPr>
        <w:t xml:space="preserve"> Las empresas tienen margen de mejora en </w:t>
      </w:r>
      <w:r w:rsidR="0057448E" w:rsidRPr="003E5589">
        <w:rPr>
          <w:rFonts w:ascii="BNPP Sans" w:hAnsi="BNPP Sans"/>
          <w:b/>
          <w:color w:val="00A76C"/>
        </w:rPr>
        <w:t>la implementación de su</w:t>
      </w:r>
      <w:r w:rsidRPr="003E5589">
        <w:rPr>
          <w:rFonts w:ascii="BNPP Sans" w:hAnsi="BNPP Sans"/>
          <w:b/>
          <w:color w:val="00A76C"/>
        </w:rPr>
        <w:t xml:space="preserve"> oferta de servicios de movilidad</w:t>
      </w:r>
    </w:p>
    <w:p w14:paraId="77E53BA8" w14:textId="5EAD2F06" w:rsidR="001E0A42" w:rsidRPr="001E0A42" w:rsidRDefault="001E0A42" w:rsidP="00E02848">
      <w:pPr>
        <w:jc w:val="both"/>
        <w:rPr>
          <w:rFonts w:ascii="BNPP Sans" w:hAnsi="BNPP Sans"/>
        </w:rPr>
      </w:pPr>
      <w:r w:rsidRPr="001E0A42">
        <w:rPr>
          <w:rFonts w:ascii="BNPP Sans" w:hAnsi="BNPP Sans"/>
        </w:rPr>
        <w:t>Las condiciones expuestas son favorables para que las empresas pongan a disposición de los empleados servicios de movilidad aptos para estos trayectos. En España, el 50% de los empleados encuestados dispone de al menos una oferta de servicios de movilidad en su empresa (el 59% en la UE). Cuando las empresas incluyen estos servicios, el 88% de los empleados españoles los utilizan, ocho puntos por encima de la media europea.</w:t>
      </w:r>
    </w:p>
    <w:p w14:paraId="302EA048" w14:textId="77777777" w:rsidR="001E0A42" w:rsidRPr="001E0A42" w:rsidRDefault="001E0A42" w:rsidP="00E02848">
      <w:pPr>
        <w:jc w:val="both"/>
        <w:rPr>
          <w:rFonts w:ascii="BNPP Sans" w:hAnsi="BNPP Sans"/>
        </w:rPr>
      </w:pPr>
      <w:r w:rsidRPr="001E0A42">
        <w:rPr>
          <w:rFonts w:ascii="BNPP Sans" w:hAnsi="BNPP Sans"/>
        </w:rPr>
        <w:lastRenderedPageBreak/>
        <w:t>Los servicios de movilidad más ofrecidos por las empresas españolas son los relacionados con los vehículos de cuatro ruedas (una plaza de aparcamiento privada, cobertura parcial del gasto de combustible o de los gastos de transporte público, coche de empresa…).</w:t>
      </w:r>
    </w:p>
    <w:p w14:paraId="07C7B490" w14:textId="77777777" w:rsidR="001E0A42" w:rsidRPr="001E0A42" w:rsidRDefault="001E0A42" w:rsidP="00E02848">
      <w:pPr>
        <w:jc w:val="both"/>
        <w:rPr>
          <w:rFonts w:ascii="BNPP Sans" w:hAnsi="BNPP Sans"/>
        </w:rPr>
      </w:pPr>
    </w:p>
    <w:p w14:paraId="1366B9F4" w14:textId="33C27C0D" w:rsidR="001E0A42" w:rsidRPr="003E5589" w:rsidRDefault="001E0A42" w:rsidP="00E02848">
      <w:pPr>
        <w:pStyle w:val="Prrafodelista"/>
        <w:numPr>
          <w:ilvl w:val="0"/>
          <w:numId w:val="8"/>
        </w:numPr>
        <w:jc w:val="both"/>
        <w:rPr>
          <w:rFonts w:ascii="BNPP Sans" w:hAnsi="BNPP Sans"/>
          <w:b/>
          <w:color w:val="00A76C"/>
        </w:rPr>
      </w:pPr>
      <w:r w:rsidRPr="003E5589">
        <w:rPr>
          <w:rFonts w:ascii="BNPP Sans" w:hAnsi="BNPP Sans"/>
          <w:b/>
          <w:color w:val="00A76C"/>
        </w:rPr>
        <w:t>La oferta de movilidad de las empresas no convence a los empleados</w:t>
      </w:r>
    </w:p>
    <w:p w14:paraId="65F7BDCF" w14:textId="21A8B08E" w:rsidR="001E0A42" w:rsidRPr="001E0A42" w:rsidRDefault="001E0A42" w:rsidP="00E02848">
      <w:pPr>
        <w:jc w:val="both"/>
        <w:rPr>
          <w:rFonts w:ascii="BNPP Sans" w:hAnsi="BNPP Sans"/>
        </w:rPr>
      </w:pPr>
      <w:r w:rsidRPr="001E0A42">
        <w:rPr>
          <w:rFonts w:ascii="BNPP Sans" w:hAnsi="BNPP Sans"/>
        </w:rPr>
        <w:t>Menos de la mitad de</w:t>
      </w:r>
      <w:r w:rsidR="00967CA6">
        <w:rPr>
          <w:rFonts w:ascii="BNPP Sans" w:hAnsi="BNPP Sans"/>
        </w:rPr>
        <w:t xml:space="preserve"> todos</w:t>
      </w:r>
      <w:r w:rsidRPr="001E0A42">
        <w:rPr>
          <w:rFonts w:ascii="BNPP Sans" w:hAnsi="BNPP Sans"/>
        </w:rPr>
        <w:t xml:space="preserve"> los empleados encuestados utilizan, al menos, un servicio de movilidad, bien porque sus empresas no les proponen ningún servicio, porque la oferta no es adecuada o porque no responde a sus necesidades. </w:t>
      </w:r>
    </w:p>
    <w:p w14:paraId="7943D559" w14:textId="74951DE0" w:rsidR="001E0A42" w:rsidRPr="001E0A42" w:rsidRDefault="008C7B7B" w:rsidP="00E02848">
      <w:pPr>
        <w:jc w:val="both"/>
        <w:rPr>
          <w:rFonts w:ascii="BNPP Sans" w:hAnsi="BNPP Sans"/>
        </w:rPr>
      </w:pPr>
      <w:r>
        <w:rPr>
          <w:rFonts w:ascii="BNPP Sans" w:hAnsi="BNPP Sans"/>
        </w:rPr>
        <w:t xml:space="preserve">En consecuencia, en España </w:t>
      </w:r>
      <w:r w:rsidR="001E0A42" w:rsidRPr="001E0A42">
        <w:rPr>
          <w:rFonts w:ascii="BNPP Sans" w:hAnsi="BNPP Sans"/>
        </w:rPr>
        <w:t>el 61% de todos los empleados encuestados no están convencidos de la oferta de movilidad de su empresa, una cifra seis puntos por encima de la media europea. El</w:t>
      </w:r>
      <w:r w:rsidR="00B42904">
        <w:rPr>
          <w:rFonts w:ascii="BNPP Sans" w:hAnsi="BNPP Sans"/>
        </w:rPr>
        <w:t xml:space="preserve"> nivel de satisfacción está r</w:t>
      </w:r>
      <w:r w:rsidR="001E0A42" w:rsidRPr="001E0A42">
        <w:rPr>
          <w:rFonts w:ascii="BNPP Sans" w:hAnsi="BNPP Sans"/>
        </w:rPr>
        <w:t>elacionado con la cantidad de ofertas de servicios de movilidad: en los Países Bajos, donde el número de servicios propuestos es mayor, el nivel de insatisfacción se reduce al 37%.</w:t>
      </w:r>
    </w:p>
    <w:p w14:paraId="3A5CBC55" w14:textId="77777777" w:rsidR="001E0A42" w:rsidRPr="003E5589" w:rsidRDefault="001E0A42" w:rsidP="00E02848">
      <w:pPr>
        <w:jc w:val="both"/>
        <w:rPr>
          <w:rFonts w:ascii="BNPP Sans" w:hAnsi="BNPP Sans"/>
          <w:color w:val="00A76C"/>
        </w:rPr>
      </w:pPr>
    </w:p>
    <w:p w14:paraId="49F52550" w14:textId="1F7606C8" w:rsidR="001E0A42" w:rsidRPr="001E0A42" w:rsidRDefault="008C7B7B" w:rsidP="00E02848">
      <w:pPr>
        <w:pStyle w:val="Prrafodelista"/>
        <w:numPr>
          <w:ilvl w:val="0"/>
          <w:numId w:val="8"/>
        </w:numPr>
        <w:jc w:val="both"/>
        <w:rPr>
          <w:rFonts w:ascii="BNPP Sans" w:hAnsi="BNPP Sans"/>
          <w:b/>
        </w:rPr>
      </w:pPr>
      <w:r w:rsidRPr="003E5589">
        <w:rPr>
          <w:rFonts w:ascii="BNPP Sans" w:hAnsi="BNPP Sans"/>
          <w:b/>
          <w:color w:val="00A76C"/>
        </w:rPr>
        <w:t>Sin embargo, los empleados tienen grandes expectativas en términos de movilidad con respecto a sus empresas</w:t>
      </w:r>
      <w:r w:rsidR="001E0A42" w:rsidRPr="003E5589">
        <w:rPr>
          <w:rFonts w:ascii="BNPP Sans" w:hAnsi="BNPP Sans"/>
          <w:b/>
          <w:color w:val="00A76C"/>
        </w:rPr>
        <w:t xml:space="preserve"> </w:t>
      </w:r>
    </w:p>
    <w:p w14:paraId="4D006C5D" w14:textId="77777777" w:rsidR="001E0A42" w:rsidRPr="001E0A42" w:rsidRDefault="001E0A42" w:rsidP="00E02848">
      <w:pPr>
        <w:jc w:val="both"/>
        <w:rPr>
          <w:rFonts w:ascii="BNPP Sans" w:hAnsi="BNPP Sans"/>
        </w:rPr>
      </w:pPr>
      <w:r w:rsidRPr="001E0A42">
        <w:rPr>
          <w:rFonts w:ascii="BNPP Sans" w:hAnsi="BNPP Sans"/>
        </w:rPr>
        <w:t>El 91% de los empleados españoles, porcentaje similar a la media europea, apreciaría que su empresa les proporcionara, o mantuviera, al menos un servicio de movilidad. Los más solicitados son la cobertura parcial de los gastos de combustible, un presupuesto de movilidad, la cobertura parcial de los gastos de transporte público, una plaza de parking y coche de empresa.</w:t>
      </w:r>
    </w:p>
    <w:p w14:paraId="47C3916A" w14:textId="2412A3E6" w:rsidR="001E0A42" w:rsidRPr="001E0A42" w:rsidRDefault="001E0A42" w:rsidP="00E02848">
      <w:pPr>
        <w:jc w:val="both"/>
        <w:rPr>
          <w:rFonts w:ascii="BNPP Sans" w:hAnsi="BNPP Sans"/>
        </w:rPr>
      </w:pPr>
      <w:r w:rsidRPr="001E0A42">
        <w:rPr>
          <w:rFonts w:ascii="BNPP Sans" w:hAnsi="BNPP Sans"/>
        </w:rPr>
        <w:t>Solo en 48% de los empleados españoles encuestados (un 54% de los europeos) confía en que las empresas</w:t>
      </w:r>
      <w:r w:rsidR="008C7B7B">
        <w:rPr>
          <w:rFonts w:ascii="BNPP Sans" w:hAnsi="BNPP Sans"/>
        </w:rPr>
        <w:t>, en general,</w:t>
      </w:r>
      <w:r w:rsidRPr="001E0A42">
        <w:rPr>
          <w:rFonts w:ascii="BNPP Sans" w:hAnsi="BNPP Sans"/>
        </w:rPr>
        <w:t xml:space="preserve"> aumentarán </w:t>
      </w:r>
      <w:r w:rsidR="008C7B7B">
        <w:rPr>
          <w:rFonts w:ascii="BNPP Sans" w:hAnsi="BNPP Sans"/>
        </w:rPr>
        <w:t xml:space="preserve">la variedad de </w:t>
      </w:r>
      <w:r w:rsidRPr="001E0A42">
        <w:rPr>
          <w:rFonts w:ascii="BNPP Sans" w:hAnsi="BNPP Sans"/>
        </w:rPr>
        <w:t xml:space="preserve">su oferta de movilidad en los próximos cinco años.  </w:t>
      </w:r>
    </w:p>
    <w:p w14:paraId="251FE992" w14:textId="0C07E9B5" w:rsidR="001E0A42" w:rsidRPr="001E0A42" w:rsidRDefault="001E0A42" w:rsidP="00E02848">
      <w:pPr>
        <w:jc w:val="both"/>
        <w:rPr>
          <w:rFonts w:ascii="BNPP Sans" w:hAnsi="BNPP Sans"/>
        </w:rPr>
      </w:pPr>
      <w:r w:rsidRPr="001E0A42">
        <w:rPr>
          <w:rFonts w:ascii="BNPP Sans" w:hAnsi="BNPP Sans"/>
        </w:rPr>
        <w:t xml:space="preserve">Las empresas tienen una responsabilidad clave en impulsar la transición energética para hacer más sostenible la movilidad de sus empleados, porque para </w:t>
      </w:r>
      <w:r w:rsidR="008C7B7B">
        <w:rPr>
          <w:rFonts w:ascii="BNPP Sans" w:hAnsi="BNPP Sans"/>
        </w:rPr>
        <w:t>los trabajadores</w:t>
      </w:r>
      <w:r w:rsidRPr="001E0A42">
        <w:rPr>
          <w:rFonts w:ascii="BNPP Sans" w:hAnsi="BNPP Sans"/>
        </w:rPr>
        <w:t xml:space="preserve"> la sostenibilidad no es un criterio importante a la hora de elegir el modo de transporte para desplazarse al trabajo (de hecho, el impacto medioambiental es el motivo menos atractivo a la hora de escoger la forma de movilidad para sus trayectos in itinere).</w:t>
      </w:r>
      <w:r w:rsidR="000A5B3F" w:rsidRPr="000A5B3F">
        <w:t xml:space="preserve"> </w:t>
      </w:r>
      <w:r w:rsidR="000A5B3F" w:rsidRPr="000A5B3F">
        <w:rPr>
          <w:rFonts w:ascii="BNPP Sans" w:hAnsi="BNPP Sans"/>
        </w:rPr>
        <w:t>Así que las empresas tienen un papel clave que desempeñar, ya que son verdaderos prescriptores en términos de transición energética y sostenibilidad.</w:t>
      </w:r>
    </w:p>
    <w:p w14:paraId="54504ECB" w14:textId="77777777" w:rsidR="001E0A42" w:rsidRPr="001E0A42" w:rsidRDefault="001E0A42" w:rsidP="00E02848">
      <w:pPr>
        <w:jc w:val="both"/>
        <w:rPr>
          <w:rFonts w:ascii="BNPP Sans" w:hAnsi="BNPP Sans"/>
        </w:rPr>
      </w:pPr>
    </w:p>
    <w:p w14:paraId="16E1A277" w14:textId="0431FDC1" w:rsidR="001E0A42" w:rsidRPr="003E5589" w:rsidRDefault="001E0A42" w:rsidP="00E02848">
      <w:pPr>
        <w:pStyle w:val="Prrafodelista"/>
        <w:numPr>
          <w:ilvl w:val="0"/>
          <w:numId w:val="8"/>
        </w:numPr>
        <w:jc w:val="both"/>
        <w:rPr>
          <w:rFonts w:ascii="BNPP Sans" w:hAnsi="BNPP Sans"/>
          <w:b/>
          <w:color w:val="00A76C"/>
        </w:rPr>
      </w:pPr>
      <w:r w:rsidRPr="003E5589">
        <w:rPr>
          <w:rFonts w:ascii="BNPP Sans" w:hAnsi="BNPP Sans"/>
          <w:b/>
          <w:color w:val="00A76C"/>
        </w:rPr>
        <w:t>La ofer</w:t>
      </w:r>
      <w:r w:rsidR="00B42904" w:rsidRPr="003E5589">
        <w:rPr>
          <w:rFonts w:ascii="BNPP Sans" w:hAnsi="BNPP Sans"/>
          <w:b/>
          <w:color w:val="00A76C"/>
        </w:rPr>
        <w:t>ta de movilidad de las empresas, f</w:t>
      </w:r>
      <w:r w:rsidRPr="003E5589">
        <w:rPr>
          <w:rFonts w:ascii="BNPP Sans" w:hAnsi="BNPP Sans"/>
          <w:b/>
          <w:color w:val="00A76C"/>
        </w:rPr>
        <w:t xml:space="preserve">actor </w:t>
      </w:r>
      <w:r w:rsidR="00E11AA2" w:rsidRPr="003E5589">
        <w:rPr>
          <w:rFonts w:ascii="BNPP Sans" w:hAnsi="BNPP Sans"/>
          <w:b/>
          <w:color w:val="00A76C"/>
        </w:rPr>
        <w:t>clave</w:t>
      </w:r>
      <w:r w:rsidRPr="003E5589">
        <w:rPr>
          <w:rFonts w:ascii="BNPP Sans" w:hAnsi="BNPP Sans"/>
          <w:b/>
          <w:color w:val="00A76C"/>
        </w:rPr>
        <w:t xml:space="preserve"> para atraer y retener talento</w:t>
      </w:r>
    </w:p>
    <w:p w14:paraId="69E64C42" w14:textId="77777777" w:rsidR="001E0A42" w:rsidRPr="001E0A42" w:rsidRDefault="001E0A42" w:rsidP="00E02848">
      <w:pPr>
        <w:jc w:val="both"/>
        <w:rPr>
          <w:rFonts w:ascii="BNPP Sans" w:hAnsi="BNPP Sans"/>
        </w:rPr>
      </w:pPr>
      <w:r w:rsidRPr="001E0A42">
        <w:rPr>
          <w:rFonts w:ascii="BNPP Sans" w:hAnsi="BNPP Sans"/>
        </w:rPr>
        <w:t>La movilidad es un factor importante a la hora de elegir la empresa en la que trabajar para el 66% de los empleados encuestados en Europa (el 68% en España), cifra que aumenta hasta el 76% para aquellos que planean cambiar su trabajo en los próximos seis meses.</w:t>
      </w:r>
    </w:p>
    <w:p w14:paraId="32FD1201" w14:textId="3BED5910" w:rsidR="001E0A42" w:rsidRPr="001E0A42" w:rsidRDefault="001E0A42" w:rsidP="00E02848">
      <w:pPr>
        <w:jc w:val="both"/>
        <w:rPr>
          <w:rFonts w:ascii="BNPP Sans" w:hAnsi="BNPP Sans"/>
        </w:rPr>
      </w:pPr>
      <w:r w:rsidRPr="001E0A42">
        <w:rPr>
          <w:rFonts w:ascii="BNPP Sans" w:hAnsi="BNPP Sans"/>
        </w:rPr>
        <w:t xml:space="preserve">La oferta de soluciones de movilidad también aumenta fuertemente el atractivo del empleador. Un 82 y el 78% de los empleados europeos piensan que una empresa sería más atractiva si el </w:t>
      </w:r>
      <w:r w:rsidRPr="001E0A42">
        <w:rPr>
          <w:rFonts w:ascii="BNPP Sans" w:hAnsi="BNPP Sans"/>
        </w:rPr>
        <w:lastRenderedPageBreak/>
        <w:t xml:space="preserve">presupuesto para movilidad y los coches de empresa </w:t>
      </w:r>
      <w:r w:rsidR="00B42904">
        <w:rPr>
          <w:rFonts w:ascii="BNPP Sans" w:hAnsi="BNPP Sans"/>
        </w:rPr>
        <w:t>fuera</w:t>
      </w:r>
      <w:r w:rsidRPr="001E0A42">
        <w:rPr>
          <w:rFonts w:ascii="BNPP Sans" w:hAnsi="BNPP Sans"/>
        </w:rPr>
        <w:t xml:space="preserve"> parte del p</w:t>
      </w:r>
      <w:r w:rsidR="00B42904">
        <w:rPr>
          <w:rFonts w:ascii="BNPP Sans" w:hAnsi="BNPP Sans"/>
        </w:rPr>
        <w:t>aquete de la oferta de trabajo</w:t>
      </w:r>
      <w:r w:rsidRPr="001E0A42">
        <w:rPr>
          <w:rFonts w:ascii="BNPP Sans" w:hAnsi="BNPP Sans"/>
        </w:rPr>
        <w:t>.</w:t>
      </w:r>
    </w:p>
    <w:p w14:paraId="26F93F06" w14:textId="151D911E" w:rsidR="001E0A42" w:rsidRPr="001E0A42" w:rsidRDefault="00B42904" w:rsidP="00E02848">
      <w:pPr>
        <w:jc w:val="both"/>
        <w:rPr>
          <w:rFonts w:ascii="BNPP Sans" w:hAnsi="BNPP Sans"/>
        </w:rPr>
      </w:pPr>
      <w:r w:rsidRPr="00B42904">
        <w:rPr>
          <w:rFonts w:ascii="BNPP Sans" w:hAnsi="BNPP Sans"/>
        </w:rPr>
        <w:t xml:space="preserve">“La pandemia ha impactado significativamente en la movilidad de los empleados de las empresas españolas y el teletrabajo se ha instaurado en mayor o menor medida. Esto ha abierto la puerta a nuevas oportunidades para las empresas, que están reevaluando sus políticas de teletrabajo y movilidad para adaptarse a la nueva realidad. El primer paso para mejorar la calidad de vida de los empleados es escuchar </w:t>
      </w:r>
      <w:r w:rsidR="003D40FC">
        <w:rPr>
          <w:rFonts w:ascii="BNPP Sans" w:hAnsi="BNPP Sans"/>
        </w:rPr>
        <w:t>sus</w:t>
      </w:r>
      <w:r w:rsidRPr="00B42904">
        <w:rPr>
          <w:rFonts w:ascii="BNPP Sans" w:hAnsi="BNPP Sans"/>
        </w:rPr>
        <w:t xml:space="preserve"> necesidades y sugerencias, muchas de las cuales se ven reflejadas en este estudio" afirma Omar Sánchez, respon</w:t>
      </w:r>
      <w:r w:rsidR="00A70825">
        <w:rPr>
          <w:rFonts w:ascii="BNPP Sans" w:hAnsi="BNPP Sans"/>
        </w:rPr>
        <w:t xml:space="preserve">sable </w:t>
      </w:r>
      <w:r>
        <w:rPr>
          <w:rFonts w:ascii="BNPP Sans" w:hAnsi="BNPP Sans"/>
        </w:rPr>
        <w:t>del Arval Mobility Observatory</w:t>
      </w:r>
      <w:r w:rsidR="00A70825">
        <w:rPr>
          <w:rFonts w:ascii="BNPP Sans" w:hAnsi="BNPP Sans"/>
        </w:rPr>
        <w:t xml:space="preserve"> en España</w:t>
      </w:r>
      <w:r w:rsidR="001E0A42" w:rsidRPr="001E0A42">
        <w:rPr>
          <w:rFonts w:ascii="BNPP Sans" w:hAnsi="BNPP Sans"/>
        </w:rPr>
        <w:t xml:space="preserve">. </w:t>
      </w:r>
    </w:p>
    <w:p w14:paraId="42F3A125" w14:textId="77777777" w:rsidR="001E0A42" w:rsidRPr="003E5589" w:rsidRDefault="001E0A42" w:rsidP="00E02848">
      <w:pPr>
        <w:jc w:val="both"/>
        <w:rPr>
          <w:rFonts w:ascii="BNPP Sans" w:hAnsi="BNPP Sans"/>
          <w:color w:val="00A76C"/>
        </w:rPr>
      </w:pPr>
    </w:p>
    <w:p w14:paraId="1779EBB9" w14:textId="77777777" w:rsidR="001E0A42" w:rsidRPr="003E5589" w:rsidRDefault="001E0A42" w:rsidP="00E02848">
      <w:pPr>
        <w:jc w:val="both"/>
        <w:rPr>
          <w:rFonts w:ascii="BNPP Sans" w:hAnsi="BNPP Sans"/>
          <w:b/>
          <w:color w:val="00A76C"/>
        </w:rPr>
      </w:pPr>
      <w:r w:rsidRPr="003E5589">
        <w:rPr>
          <w:rFonts w:ascii="BNPP Sans" w:hAnsi="BNPP Sans"/>
          <w:b/>
          <w:color w:val="00A76C"/>
        </w:rPr>
        <w:t>Metodología</w:t>
      </w:r>
    </w:p>
    <w:p w14:paraId="5A9A0A89" w14:textId="77777777" w:rsidR="00967CA6" w:rsidRDefault="001E0A42" w:rsidP="00E02848">
      <w:pPr>
        <w:jc w:val="both"/>
        <w:rPr>
          <w:rFonts w:ascii="BNPP Sans" w:hAnsi="BNPP Sans"/>
        </w:rPr>
      </w:pPr>
      <w:r w:rsidRPr="001E0A42">
        <w:rPr>
          <w:rFonts w:ascii="BNPP Sans" w:hAnsi="BNPP Sans"/>
        </w:rPr>
        <w:t>La empresa independiente Ipsos ha realizado esta encuesta entrevista</w:t>
      </w:r>
      <w:r w:rsidR="00360201">
        <w:rPr>
          <w:rFonts w:ascii="BNPP Sans" w:hAnsi="BNPP Sans"/>
        </w:rPr>
        <w:t>n</w:t>
      </w:r>
      <w:r w:rsidRPr="001E0A42">
        <w:rPr>
          <w:rFonts w:ascii="BNPP Sans" w:hAnsi="BNPP Sans"/>
        </w:rPr>
        <w:t xml:space="preserve">do a 2.905 empleados de </w:t>
      </w:r>
      <w:r w:rsidR="00A70825">
        <w:rPr>
          <w:rFonts w:ascii="BNPP Sans" w:hAnsi="BNPP Sans"/>
        </w:rPr>
        <w:t>compañías</w:t>
      </w:r>
      <w:r w:rsidRPr="001E0A42">
        <w:rPr>
          <w:rFonts w:ascii="BNPP Sans" w:hAnsi="BNPP Sans"/>
        </w:rPr>
        <w:t xml:space="preserve"> con más de 100 empleados, entre el 1 y el 11 de septiembre de 2022. Los participantes han completado la encuesta online. Su ámbito incluye seis países (Alemania, Bélgica, España, Francia, Italia y Países Bajos). </w:t>
      </w:r>
    </w:p>
    <w:p w14:paraId="3B54E589" w14:textId="05E26DC6" w:rsidR="001E0A42" w:rsidRPr="001E0A42" w:rsidRDefault="001E0A42" w:rsidP="00E02848">
      <w:pPr>
        <w:jc w:val="both"/>
        <w:rPr>
          <w:rFonts w:ascii="BNPP Sans" w:hAnsi="BNPP Sans"/>
        </w:rPr>
      </w:pPr>
      <w:r w:rsidRPr="001E0A42">
        <w:rPr>
          <w:rFonts w:ascii="BNPP Sans" w:hAnsi="BNPP Sans"/>
        </w:rPr>
        <w:t xml:space="preserve">La distribución de los encuestados </w:t>
      </w:r>
      <w:r w:rsidR="000A5B3F">
        <w:rPr>
          <w:rFonts w:ascii="BNPP Sans" w:hAnsi="BNPP Sans"/>
        </w:rPr>
        <w:t xml:space="preserve">en Europa </w:t>
      </w:r>
      <w:r w:rsidRPr="001E0A42">
        <w:rPr>
          <w:rFonts w:ascii="BNPP Sans" w:hAnsi="BNPP Sans"/>
        </w:rPr>
        <w:t>ha sido la siguiente:</w:t>
      </w:r>
    </w:p>
    <w:p w14:paraId="42F67DA1" w14:textId="77777777" w:rsidR="001E0A42" w:rsidRPr="001E0A42" w:rsidRDefault="001E0A42" w:rsidP="00E02848">
      <w:pPr>
        <w:jc w:val="both"/>
        <w:rPr>
          <w:rFonts w:ascii="BNPP Sans" w:hAnsi="BNPP Sans"/>
        </w:rPr>
      </w:pPr>
      <w:r w:rsidRPr="001E0A42">
        <w:rPr>
          <w:rFonts w:ascii="BNPP Sans" w:hAnsi="BNPP Sans"/>
        </w:rPr>
        <w:t>- 57% de mujeres, 43% de hombres.</w:t>
      </w:r>
    </w:p>
    <w:p w14:paraId="053E608F" w14:textId="77777777" w:rsidR="001E0A42" w:rsidRPr="001E0A42" w:rsidRDefault="001E0A42" w:rsidP="00E02848">
      <w:pPr>
        <w:jc w:val="both"/>
        <w:rPr>
          <w:rFonts w:ascii="BNPP Sans" w:hAnsi="BNPP Sans"/>
        </w:rPr>
      </w:pPr>
      <w:r w:rsidRPr="001E0A42">
        <w:rPr>
          <w:rFonts w:ascii="BNPP Sans" w:hAnsi="BNPP Sans"/>
        </w:rPr>
        <w:t>- 6% entre 18 y 24 años, 57% entre 25 y 49 años, 36% entre 50 y 60 años.</w:t>
      </w:r>
    </w:p>
    <w:p w14:paraId="450B03F9" w14:textId="77777777" w:rsidR="001E0A42" w:rsidRPr="001E0A42" w:rsidRDefault="001E0A42" w:rsidP="00E02848">
      <w:pPr>
        <w:jc w:val="both"/>
        <w:rPr>
          <w:rFonts w:ascii="BNPP Sans" w:hAnsi="BNPP Sans"/>
        </w:rPr>
      </w:pPr>
      <w:r w:rsidRPr="001E0A42">
        <w:rPr>
          <w:rFonts w:ascii="BNPP Sans" w:hAnsi="BNPP Sans"/>
        </w:rPr>
        <w:t>- El 98% de los empleados entrevistados se desplaza al trabajo y el 55% hace viajes de negocios.</w:t>
      </w:r>
    </w:p>
    <w:p w14:paraId="1FCB2F36" w14:textId="183F1701" w:rsidR="00A30C94" w:rsidRDefault="001E0A42" w:rsidP="00E02848">
      <w:pPr>
        <w:jc w:val="both"/>
        <w:rPr>
          <w:rFonts w:ascii="BNPP Sans" w:hAnsi="BNPP Sans"/>
        </w:rPr>
      </w:pPr>
      <w:r w:rsidRPr="001E0A42">
        <w:rPr>
          <w:rFonts w:ascii="BNPP Sans" w:hAnsi="BNPP Sans"/>
        </w:rPr>
        <w:t xml:space="preserve">- El 62% </w:t>
      </w:r>
      <w:r w:rsidR="00E02848">
        <w:rPr>
          <w:rFonts w:ascii="BNPP Sans" w:hAnsi="BNPP Sans"/>
        </w:rPr>
        <w:t>emplea</w:t>
      </w:r>
      <w:r w:rsidRPr="001E0A42">
        <w:rPr>
          <w:rFonts w:ascii="BNPP Sans" w:hAnsi="BNPP Sans"/>
        </w:rPr>
        <w:t xml:space="preserve"> menos de 30 minutos y el 57% </w:t>
      </w:r>
      <w:r w:rsidR="00360201">
        <w:rPr>
          <w:rFonts w:ascii="BNPP Sans" w:hAnsi="BNPP Sans"/>
        </w:rPr>
        <w:t xml:space="preserve">recorre </w:t>
      </w:r>
      <w:r w:rsidRPr="001E0A42">
        <w:rPr>
          <w:rFonts w:ascii="BNPP Sans" w:hAnsi="BNPP Sans"/>
        </w:rPr>
        <w:t>menos de 2</w:t>
      </w:r>
      <w:r w:rsidR="00E02848">
        <w:rPr>
          <w:rFonts w:ascii="BNPP Sans" w:hAnsi="BNPP Sans"/>
        </w:rPr>
        <w:t>0 km para desplazarse</w:t>
      </w:r>
      <w:r w:rsidR="003F52FB">
        <w:rPr>
          <w:rFonts w:ascii="BNPP Sans" w:hAnsi="BNPP Sans"/>
        </w:rPr>
        <w:t>.</w:t>
      </w:r>
    </w:p>
    <w:bookmarkEnd w:id="0"/>
    <w:p w14:paraId="48485EDD" w14:textId="77777777" w:rsidR="00E02848" w:rsidRDefault="00E02848" w:rsidP="00E028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eastAsia="Times New Roman" w:hAnsi="Arial" w:cs="Arial"/>
          <w:b/>
          <w:color w:val="00A76C"/>
          <w:sz w:val="16"/>
          <w:szCs w:val="16"/>
          <w:lang w:eastAsia="es-ES"/>
        </w:rPr>
      </w:pPr>
    </w:p>
    <w:p w14:paraId="0D6B9CD5" w14:textId="3354016E" w:rsidR="006B258D" w:rsidRPr="00E02848" w:rsidRDefault="006B258D" w:rsidP="00E028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eastAsia="Times New Roman" w:hAnsi="Arial" w:cs="Arial"/>
          <w:b/>
          <w:color w:val="00A76C"/>
          <w:sz w:val="16"/>
          <w:szCs w:val="16"/>
          <w:u w:val="single"/>
          <w:lang w:eastAsia="es-ES"/>
        </w:rPr>
      </w:pPr>
      <w:r w:rsidRPr="00E02848">
        <w:rPr>
          <w:rFonts w:ascii="Arial" w:eastAsia="Times New Roman" w:hAnsi="Arial" w:cs="Arial"/>
          <w:b/>
          <w:color w:val="00A76C"/>
          <w:sz w:val="16"/>
          <w:szCs w:val="16"/>
          <w:u w:val="single"/>
          <w:lang w:eastAsia="es-ES"/>
        </w:rPr>
        <w:t>S</w:t>
      </w:r>
      <w:r w:rsidR="00E02848" w:rsidRPr="00E02848">
        <w:rPr>
          <w:rFonts w:ascii="Arial" w:eastAsia="Times New Roman" w:hAnsi="Arial" w:cs="Arial"/>
          <w:b/>
          <w:color w:val="00A76C"/>
          <w:sz w:val="16"/>
          <w:szCs w:val="16"/>
          <w:u w:val="single"/>
          <w:lang w:eastAsia="es-ES"/>
        </w:rPr>
        <w:t>obre Arval Mobility Observatory</w:t>
      </w:r>
    </w:p>
    <w:p w14:paraId="746C5F28" w14:textId="77777777" w:rsidR="006B258D" w:rsidRPr="006B258D" w:rsidRDefault="006B258D" w:rsidP="00E028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eastAsia="Times New Roman" w:hAnsi="Arial" w:cs="Arial"/>
          <w:b/>
          <w:sz w:val="16"/>
          <w:szCs w:val="16"/>
          <w:lang w:eastAsia="es-ES"/>
        </w:rPr>
      </w:pPr>
    </w:p>
    <w:p w14:paraId="205EC749" w14:textId="77777777" w:rsidR="00F85FC4" w:rsidRDefault="001B7221" w:rsidP="00E028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eastAsia="Times New Roman" w:hAnsi="Arial" w:cs="Arial"/>
          <w:sz w:val="16"/>
          <w:szCs w:val="16"/>
          <w:lang w:eastAsia="es-ES"/>
        </w:rPr>
      </w:pPr>
      <w:r>
        <w:rPr>
          <w:rFonts w:ascii="Arial" w:eastAsia="Times New Roman" w:hAnsi="Arial" w:cs="Arial"/>
          <w:sz w:val="16"/>
          <w:szCs w:val="16"/>
          <w:lang w:eastAsia="es-ES"/>
        </w:rPr>
        <w:t>R</w:t>
      </w:r>
      <w:r w:rsidR="006B258D" w:rsidRPr="006B258D">
        <w:rPr>
          <w:rFonts w:ascii="Arial" w:eastAsia="Times New Roman" w:hAnsi="Arial" w:cs="Arial"/>
          <w:sz w:val="16"/>
          <w:szCs w:val="16"/>
          <w:lang w:eastAsia="es-ES"/>
        </w:rPr>
        <w:t>econocido como uno de los think tanks más autorizados de</w:t>
      </w:r>
      <w:r>
        <w:rPr>
          <w:rFonts w:ascii="Arial" w:eastAsia="Times New Roman" w:hAnsi="Arial" w:cs="Arial"/>
          <w:sz w:val="16"/>
          <w:szCs w:val="16"/>
          <w:lang w:eastAsia="es-ES"/>
        </w:rPr>
        <w:t>l sector de flotas y movilidad, s</w:t>
      </w:r>
      <w:r w:rsidR="006B258D" w:rsidRPr="006B258D">
        <w:rPr>
          <w:rFonts w:ascii="Arial" w:eastAsia="Times New Roman" w:hAnsi="Arial" w:cs="Arial"/>
          <w:sz w:val="16"/>
          <w:szCs w:val="16"/>
          <w:lang w:eastAsia="es-ES"/>
        </w:rPr>
        <w:t>u objetivo es proporcionar información detallada y precisa para compartir con todo tipo de audiencias, ayudarles a comprender mejor el nuevo paradigma de movilidad en el que evolucionamos y ayudarles a encontrar su camino en la jungla de las soluc</w:t>
      </w:r>
      <w:r w:rsidR="009A4397">
        <w:rPr>
          <w:rFonts w:ascii="Arial" w:eastAsia="Times New Roman" w:hAnsi="Arial" w:cs="Arial"/>
          <w:sz w:val="16"/>
          <w:szCs w:val="16"/>
          <w:lang w:eastAsia="es-ES"/>
        </w:rPr>
        <w:t>iones de movilidad</w:t>
      </w:r>
      <w:r w:rsidR="006B258D" w:rsidRPr="006B258D">
        <w:rPr>
          <w:rFonts w:ascii="Arial" w:eastAsia="Times New Roman" w:hAnsi="Arial" w:cs="Arial"/>
          <w:sz w:val="16"/>
          <w:szCs w:val="16"/>
          <w:lang w:eastAsia="es-ES"/>
        </w:rPr>
        <w:t>. Cada año, Arval Mobility Observatory produce su barómetro, un examen exhaustivo de las tendencias en toda Europa.</w:t>
      </w:r>
      <w:r w:rsidR="00F576F9">
        <w:rPr>
          <w:rFonts w:ascii="Arial" w:eastAsia="Times New Roman" w:hAnsi="Arial" w:cs="Arial"/>
          <w:sz w:val="16"/>
          <w:szCs w:val="16"/>
          <w:lang w:eastAsia="es-ES"/>
        </w:rPr>
        <w:t xml:space="preserve"> </w:t>
      </w:r>
    </w:p>
    <w:p w14:paraId="0F0E1A45" w14:textId="3241C63C" w:rsidR="006B258D" w:rsidRPr="003D40FC" w:rsidRDefault="00B8562F" w:rsidP="00E0284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Style w:val="Hipervnculo"/>
          <w:rFonts w:ascii="Arial" w:eastAsia="Times New Roman" w:hAnsi="Arial" w:cs="Arial"/>
          <w:color w:val="auto"/>
          <w:sz w:val="16"/>
          <w:szCs w:val="16"/>
          <w:u w:val="none"/>
          <w:lang w:val="en-US" w:eastAsia="es-ES"/>
        </w:rPr>
      </w:pPr>
      <w:hyperlink r:id="rId8" w:history="1">
        <w:r w:rsidR="006B258D" w:rsidRPr="003D40FC">
          <w:rPr>
            <w:rStyle w:val="Hipervnculo"/>
            <w:rFonts w:ascii="Arial" w:hAnsi="Arial" w:cs="Arial"/>
            <w:color w:val="00A76C"/>
            <w:sz w:val="16"/>
            <w:szCs w:val="16"/>
            <w:lang w:val="en-US"/>
          </w:rPr>
          <w:t>www.mobility-observatory.arval.</w:t>
        </w:r>
        <w:r w:rsidR="006B258D" w:rsidRPr="003D40FC">
          <w:rPr>
            <w:rStyle w:val="Hipervnculo"/>
            <w:rFonts w:ascii="Arial" w:eastAsia="Times New Roman" w:hAnsi="Arial" w:cs="Arial"/>
            <w:color w:val="00A76C"/>
            <w:sz w:val="16"/>
            <w:szCs w:val="16"/>
            <w:lang w:val="en-US" w:eastAsia="es-ES"/>
          </w:rPr>
          <w:t>com</w:t>
        </w:r>
      </w:hyperlink>
    </w:p>
    <w:p w14:paraId="0248CF41" w14:textId="77777777" w:rsidR="006B258D" w:rsidRPr="003D40FC" w:rsidRDefault="006B258D" w:rsidP="00E02848">
      <w:pPr>
        <w:spacing w:after="0"/>
        <w:jc w:val="both"/>
        <w:rPr>
          <w:rStyle w:val="Hipervnculo"/>
          <w:rFonts w:ascii="Arial" w:eastAsia="Times New Roman" w:hAnsi="Arial" w:cs="Arial"/>
          <w:color w:val="00A76C"/>
          <w:sz w:val="16"/>
          <w:szCs w:val="16"/>
          <w:lang w:val="en-US" w:eastAsia="es-ES"/>
        </w:rPr>
      </w:pPr>
    </w:p>
    <w:p w14:paraId="3E43A37D" w14:textId="260BC622" w:rsidR="006B258D" w:rsidRPr="00E02848" w:rsidRDefault="00E02848" w:rsidP="00E02848">
      <w:pPr>
        <w:spacing w:line="276" w:lineRule="auto"/>
        <w:jc w:val="both"/>
        <w:rPr>
          <w:rFonts w:ascii="Arial" w:hAnsi="Arial" w:cs="Arial"/>
          <w:b/>
          <w:color w:val="00A76C"/>
          <w:sz w:val="16"/>
          <w:szCs w:val="16"/>
          <w:u w:val="single"/>
          <w:lang w:val="en-US"/>
        </w:rPr>
      </w:pPr>
      <w:r w:rsidRPr="00E02848">
        <w:rPr>
          <w:rFonts w:ascii="Arial" w:hAnsi="Arial" w:cs="Arial"/>
          <w:b/>
          <w:color w:val="00A76C"/>
          <w:sz w:val="16"/>
          <w:szCs w:val="16"/>
          <w:u w:val="single"/>
          <w:lang w:val="en-US"/>
        </w:rPr>
        <w:t>Sobre ARVAL</w:t>
      </w:r>
    </w:p>
    <w:p w14:paraId="43E3D910" w14:textId="4988A57E" w:rsidR="006B258D" w:rsidRDefault="006B258D" w:rsidP="00E02848">
      <w:pPr>
        <w:spacing w:line="240" w:lineRule="auto"/>
        <w:jc w:val="both"/>
        <w:rPr>
          <w:rFonts w:ascii="Arial" w:hAnsi="Arial" w:cs="Arial"/>
          <w:color w:val="0563C1" w:themeColor="hyperlink"/>
          <w:sz w:val="16"/>
          <w:szCs w:val="16"/>
          <w:u w:val="single"/>
        </w:rPr>
      </w:pPr>
      <w:r w:rsidRPr="006B258D">
        <w:rPr>
          <w:rFonts w:ascii="Arial" w:hAnsi="Arial" w:cs="Arial"/>
          <w:sz w:val="16"/>
          <w:szCs w:val="16"/>
        </w:rPr>
        <w:t xml:space="preserve">Arval está especializada en renting de vehículos de servicio completo y en nuevas soluciones de movilidad, y cuenta con 1,5 millones de vehículos financiados en todo el mundo a </w:t>
      </w:r>
      <w:r w:rsidR="00741E31">
        <w:rPr>
          <w:rFonts w:ascii="Arial" w:hAnsi="Arial" w:cs="Arial"/>
          <w:sz w:val="16"/>
          <w:szCs w:val="16"/>
        </w:rPr>
        <w:t>junio de 2022</w:t>
      </w:r>
      <w:r w:rsidRPr="006B258D">
        <w:rPr>
          <w:rFonts w:ascii="Arial" w:hAnsi="Arial" w:cs="Arial"/>
          <w:sz w:val="16"/>
          <w:szCs w:val="16"/>
        </w:rPr>
        <w:t>. Cada día, más de 7.500 empleados de Arval en 30 países, proporcionan soluciones de movilidad flexibles, fáciles y sostenibles a todos sus clientes, empresas (internacionales, grandes, medianas y pequeñas), clientes retail y particulares. Arval es miembro fundador de Element-Arval Global Alliance, líder mundial en la industria de la gestión de flotas, con más de 3 millones de vehículos en 53 países. Arval se fundó en 1989 y es una</w:t>
      </w:r>
      <w:r w:rsidR="00AB46D2">
        <w:rPr>
          <w:rFonts w:ascii="Arial" w:hAnsi="Arial" w:cs="Arial"/>
          <w:sz w:val="16"/>
          <w:szCs w:val="16"/>
        </w:rPr>
        <w:t xml:space="preserve"> compañía del Grupo BNP Paribas</w:t>
      </w:r>
      <w:r w:rsidRPr="006B258D">
        <w:rPr>
          <w:rFonts w:ascii="Arial" w:hAnsi="Arial" w:cs="Arial"/>
          <w:sz w:val="16"/>
          <w:szCs w:val="16"/>
        </w:rPr>
        <w:t>.</w:t>
      </w:r>
      <w:r w:rsidR="00AB46D2">
        <w:rPr>
          <w:rFonts w:ascii="Arial" w:hAnsi="Arial" w:cs="Arial"/>
          <w:sz w:val="16"/>
          <w:szCs w:val="16"/>
        </w:rPr>
        <w:t xml:space="preserve"> </w:t>
      </w:r>
      <w:r w:rsidRPr="006B258D">
        <w:rPr>
          <w:rFonts w:ascii="Arial" w:hAnsi="Arial" w:cs="Arial"/>
          <w:sz w:val="16"/>
          <w:szCs w:val="16"/>
        </w:rPr>
        <w:t>Dentro del Grupo, Arval pertenece a la división de Commerci</w:t>
      </w:r>
      <w:r w:rsidR="00AB46D2">
        <w:rPr>
          <w:rFonts w:ascii="Arial" w:hAnsi="Arial" w:cs="Arial"/>
          <w:sz w:val="16"/>
          <w:szCs w:val="16"/>
        </w:rPr>
        <w:t>al, Personal Banking &amp; Services</w:t>
      </w:r>
      <w:r w:rsidRPr="006B258D">
        <w:rPr>
          <w:rFonts w:ascii="Arial" w:hAnsi="Arial" w:cs="Arial"/>
          <w:sz w:val="16"/>
          <w:szCs w:val="16"/>
        </w:rPr>
        <w:t>.</w:t>
      </w:r>
      <w:r w:rsidRPr="003E5589">
        <w:rPr>
          <w:rFonts w:ascii="Arial" w:hAnsi="Arial" w:cs="Arial"/>
          <w:color w:val="00A76C"/>
          <w:sz w:val="16"/>
          <w:szCs w:val="16"/>
        </w:rPr>
        <w:t xml:space="preserve"> </w:t>
      </w:r>
      <w:hyperlink r:id="rId9" w:history="1">
        <w:r w:rsidRPr="003E5589">
          <w:rPr>
            <w:rStyle w:val="Hipervnculo"/>
            <w:rFonts w:ascii="Arial" w:hAnsi="Arial" w:cs="Arial"/>
            <w:color w:val="00A76C"/>
            <w:sz w:val="16"/>
            <w:szCs w:val="16"/>
          </w:rPr>
          <w:t>www.arval.com</w:t>
        </w:r>
      </w:hyperlink>
    </w:p>
    <w:p w14:paraId="21B65EBA" w14:textId="56174E3C" w:rsidR="006B258D" w:rsidRPr="006B258D" w:rsidRDefault="006B258D" w:rsidP="00E02848">
      <w:pPr>
        <w:spacing w:line="240" w:lineRule="auto"/>
        <w:jc w:val="both"/>
        <w:rPr>
          <w:rFonts w:ascii="Arial" w:hAnsi="Arial" w:cs="Arial"/>
          <w:b/>
          <w:noProof/>
          <w:sz w:val="16"/>
          <w:szCs w:val="16"/>
          <w:lang w:eastAsia="es-ES"/>
        </w:rPr>
      </w:pPr>
      <w:r w:rsidRPr="006B258D">
        <w:rPr>
          <w:rFonts w:ascii="Arial" w:hAnsi="Arial" w:cs="Arial"/>
          <w:sz w:val="16"/>
          <w:szCs w:val="16"/>
          <w:lang w:val="es-ES_tradnl"/>
        </w:rPr>
        <w:t xml:space="preserve">En España, está presente desde el año 1996 y cuenta con más de 840 empleados. La cifra de vehículos financiados actualmente en España, es superior a </w:t>
      </w:r>
      <w:r w:rsidR="00741E31">
        <w:rPr>
          <w:rFonts w:ascii="Arial" w:hAnsi="Arial" w:cs="Arial"/>
          <w:sz w:val="16"/>
          <w:szCs w:val="16"/>
          <w:lang w:val="es-ES_tradnl"/>
        </w:rPr>
        <w:t>205</w:t>
      </w:r>
      <w:r w:rsidRPr="006B258D">
        <w:rPr>
          <w:rFonts w:ascii="Arial" w:hAnsi="Arial" w:cs="Arial"/>
          <w:sz w:val="16"/>
          <w:szCs w:val="16"/>
          <w:lang w:val="es-ES_tradnl"/>
        </w:rPr>
        <w:t>.000 unidades (</w:t>
      </w:r>
      <w:r w:rsidR="00741E31">
        <w:rPr>
          <w:rFonts w:ascii="Arial" w:hAnsi="Arial" w:cs="Arial"/>
          <w:sz w:val="16"/>
          <w:szCs w:val="16"/>
          <w:lang w:val="es-ES_tradnl"/>
        </w:rPr>
        <w:t>julio 2022</w:t>
      </w:r>
      <w:r w:rsidRPr="006B258D">
        <w:rPr>
          <w:rFonts w:ascii="Arial" w:hAnsi="Arial" w:cs="Arial"/>
          <w:sz w:val="16"/>
          <w:szCs w:val="16"/>
          <w:lang w:val="es-ES_tradnl"/>
        </w:rPr>
        <w:t>) lo que la convierte en el primer operador nacional. La compañía en España cuenta con las certificaciones ISO 14001 e ISO 39001</w:t>
      </w:r>
      <w:r w:rsidRPr="006B258D">
        <w:rPr>
          <w:rFonts w:ascii="Arial" w:hAnsi="Arial" w:cs="Arial"/>
          <w:color w:val="00B050"/>
          <w:sz w:val="16"/>
          <w:szCs w:val="16"/>
        </w:rPr>
        <w:t xml:space="preserve">. </w:t>
      </w:r>
      <w:hyperlink r:id="rId10" w:history="1">
        <w:r w:rsidRPr="003E5589">
          <w:rPr>
            <w:rStyle w:val="Hipervnculo"/>
            <w:rFonts w:ascii="Arial" w:hAnsi="Arial" w:cs="Arial"/>
            <w:color w:val="00A76C"/>
            <w:sz w:val="16"/>
            <w:szCs w:val="16"/>
          </w:rPr>
          <w:t>www.arval.es</w:t>
        </w:r>
      </w:hyperlink>
      <w:r w:rsidRPr="006B258D">
        <w:rPr>
          <w:rFonts w:ascii="Arial" w:hAnsi="Arial" w:cs="Arial"/>
          <w:b/>
          <w:noProof/>
          <w:color w:val="00B050"/>
          <w:sz w:val="16"/>
          <w:szCs w:val="16"/>
          <w:lang w:eastAsia="es-ES"/>
        </w:rPr>
        <w:t xml:space="preserve">   </w:t>
      </w:r>
      <w:r w:rsidRPr="006B258D">
        <w:rPr>
          <w:rFonts w:ascii="Arial" w:hAnsi="Arial" w:cs="Arial"/>
          <w:b/>
          <w:noProof/>
          <w:sz w:val="16"/>
          <w:szCs w:val="16"/>
          <w:lang w:eastAsia="es-ES"/>
        </w:rPr>
        <w:tab/>
      </w:r>
      <w:r w:rsidRPr="006B258D">
        <w:rPr>
          <w:rFonts w:ascii="Arial" w:hAnsi="Arial" w:cs="Arial"/>
          <w:b/>
          <w:noProof/>
          <w:sz w:val="16"/>
          <w:szCs w:val="16"/>
          <w:lang w:eastAsia="es-ES"/>
        </w:rPr>
        <w:tab/>
      </w:r>
      <w:r w:rsidRPr="006B258D">
        <w:rPr>
          <w:rFonts w:ascii="Arial" w:hAnsi="Arial" w:cs="Arial"/>
          <w:b/>
          <w:noProof/>
          <w:sz w:val="16"/>
          <w:szCs w:val="16"/>
          <w:lang w:eastAsia="es-ES"/>
        </w:rPr>
        <w:tab/>
      </w:r>
    </w:p>
    <w:p w14:paraId="6C5CC7F4" w14:textId="20DE81B5" w:rsidR="006B258D" w:rsidRPr="00F85FC4" w:rsidRDefault="00BB5D4B" w:rsidP="00E02848">
      <w:pPr>
        <w:spacing w:after="0" w:line="240" w:lineRule="auto"/>
        <w:jc w:val="both"/>
        <w:rPr>
          <w:rFonts w:ascii="Arial" w:hAnsi="Arial" w:cs="Arial"/>
          <w:color w:val="000000" w:themeColor="text1"/>
          <w:sz w:val="16"/>
          <w:szCs w:val="16"/>
        </w:rPr>
      </w:pPr>
      <w:r>
        <w:rPr>
          <w:rFonts w:ascii="Arial" w:hAnsi="Arial" w:cs="Arial"/>
          <w:sz w:val="16"/>
          <w:szCs w:val="16"/>
        </w:rPr>
        <w:t>Javier Arús</w:t>
      </w:r>
      <w:r w:rsidR="006B258D" w:rsidRPr="006B258D">
        <w:rPr>
          <w:rFonts w:ascii="Arial" w:hAnsi="Arial" w:cs="Arial"/>
          <w:sz w:val="16"/>
          <w:szCs w:val="16"/>
        </w:rPr>
        <w:t xml:space="preserve"> </w:t>
      </w:r>
      <w:r>
        <w:rPr>
          <w:rFonts w:ascii="Arial" w:hAnsi="Arial" w:cs="Arial"/>
          <w:sz w:val="16"/>
          <w:szCs w:val="16"/>
        </w:rPr>
        <w:t>–</w:t>
      </w:r>
      <w:r w:rsidR="006B258D" w:rsidRPr="006B258D">
        <w:rPr>
          <w:rFonts w:ascii="Arial" w:hAnsi="Arial" w:cs="Arial"/>
          <w:sz w:val="16"/>
          <w:szCs w:val="16"/>
        </w:rPr>
        <w:t xml:space="preserve"> </w:t>
      </w:r>
      <w:hyperlink r:id="rId11" w:history="1">
        <w:r w:rsidR="00F85FC4" w:rsidRPr="003E5589">
          <w:rPr>
            <w:rStyle w:val="Hipervnculo"/>
            <w:rFonts w:ascii="Arial" w:hAnsi="Arial" w:cs="Arial"/>
            <w:color w:val="00A76C"/>
            <w:sz w:val="16"/>
            <w:szCs w:val="16"/>
          </w:rPr>
          <w:t>javier.arus@arval.es</w:t>
        </w:r>
      </w:hyperlink>
    </w:p>
    <w:p w14:paraId="3E6FD94C" w14:textId="7AD64063" w:rsidR="006B258D" w:rsidRPr="003E5589" w:rsidRDefault="006B258D" w:rsidP="00E02848">
      <w:pPr>
        <w:spacing w:after="0" w:line="240" w:lineRule="auto"/>
        <w:jc w:val="both"/>
        <w:rPr>
          <w:rFonts w:ascii="Arial" w:hAnsi="Arial" w:cs="Arial"/>
          <w:color w:val="00A76C"/>
          <w:sz w:val="16"/>
          <w:szCs w:val="16"/>
        </w:rPr>
      </w:pPr>
      <w:r w:rsidRPr="00F85FC4">
        <w:rPr>
          <w:rFonts w:ascii="Arial" w:hAnsi="Arial" w:cs="Arial"/>
          <w:sz w:val="16"/>
          <w:szCs w:val="16"/>
        </w:rPr>
        <w:t xml:space="preserve">Sara Morán – </w:t>
      </w:r>
      <w:hyperlink r:id="rId12" w:history="1">
        <w:r w:rsidRPr="003E5589">
          <w:rPr>
            <w:rStyle w:val="Hipervnculo"/>
            <w:rFonts w:ascii="Arial" w:hAnsi="Arial" w:cs="Arial"/>
            <w:color w:val="00A76C"/>
            <w:sz w:val="16"/>
            <w:szCs w:val="16"/>
          </w:rPr>
          <w:t>sara.moran@arval.es</w:t>
        </w:r>
      </w:hyperlink>
    </w:p>
    <w:p w14:paraId="63F0039C" w14:textId="77777777" w:rsidR="006B258D" w:rsidRPr="00F85FC4" w:rsidRDefault="006B258D" w:rsidP="00E02848">
      <w:pPr>
        <w:spacing w:after="0" w:line="240" w:lineRule="auto"/>
        <w:jc w:val="both"/>
        <w:rPr>
          <w:rFonts w:ascii="Arial" w:hAnsi="Arial" w:cs="Arial"/>
          <w:sz w:val="16"/>
          <w:szCs w:val="16"/>
        </w:rPr>
      </w:pPr>
    </w:p>
    <w:p w14:paraId="09C7710F" w14:textId="1F84D5FE" w:rsidR="006B258D" w:rsidRPr="003E5589" w:rsidRDefault="00B8562F" w:rsidP="00E02848">
      <w:pPr>
        <w:autoSpaceDE w:val="0"/>
        <w:autoSpaceDN w:val="0"/>
        <w:adjustRightInd w:val="0"/>
        <w:jc w:val="both"/>
        <w:rPr>
          <w:rFonts w:ascii="Arial" w:hAnsi="Arial" w:cs="Arial"/>
          <w:b/>
          <w:color w:val="00A76C"/>
          <w:sz w:val="16"/>
          <w:szCs w:val="16"/>
          <w:lang w:val="es-ES_tradnl"/>
        </w:rPr>
      </w:pPr>
      <w:hyperlink r:id="rId13" w:tgtFrame="_blank" w:history="1">
        <w:r w:rsidR="006B258D" w:rsidRPr="003E5589">
          <w:rPr>
            <w:rStyle w:val="Hipervnculo"/>
            <w:rFonts w:ascii="Arial" w:hAnsi="Arial" w:cs="Arial"/>
            <w:b/>
            <w:color w:val="00A76C"/>
            <w:sz w:val="16"/>
            <w:szCs w:val="16"/>
            <w:lang w:val="es-ES_tradnl"/>
          </w:rPr>
          <w:t>Sobre BNP Paribas</w:t>
        </w:r>
      </w:hyperlink>
    </w:p>
    <w:p w14:paraId="7E391085" w14:textId="12752962" w:rsidR="006B258D" w:rsidRPr="00F01CEA" w:rsidRDefault="006B258D" w:rsidP="00E02848">
      <w:pPr>
        <w:spacing w:line="240" w:lineRule="auto"/>
        <w:jc w:val="both"/>
        <w:rPr>
          <w:rStyle w:val="Hipervnculo"/>
          <w:rFonts w:ascii="Arial" w:hAnsi="Arial" w:cs="Arial"/>
          <w:color w:val="auto"/>
          <w:sz w:val="16"/>
          <w:szCs w:val="16"/>
          <w:u w:val="none"/>
          <w:lang w:val="es-ES_tradnl" w:eastAsia="ja-JP"/>
        </w:rPr>
      </w:pPr>
      <w:r w:rsidRPr="006B258D">
        <w:rPr>
          <w:rFonts w:ascii="Arial" w:hAnsi="Arial" w:cs="Arial"/>
          <w:sz w:val="16"/>
          <w:szCs w:val="16"/>
          <w:lang w:val="es-ES_tradnl" w:eastAsia="ja-JP"/>
        </w:rPr>
        <w:t>BNP Paribas es un banco líder en Europa de dimensión internacional. Está presente en 7</w:t>
      </w:r>
      <w:r w:rsidR="00F01CEA">
        <w:rPr>
          <w:rFonts w:ascii="Arial" w:hAnsi="Arial" w:cs="Arial"/>
          <w:sz w:val="16"/>
          <w:szCs w:val="16"/>
          <w:lang w:val="es-ES_tradnl" w:eastAsia="ja-JP"/>
        </w:rPr>
        <w:t>1 países con aproximadamente 190</w:t>
      </w:r>
      <w:r w:rsidRPr="006B258D">
        <w:rPr>
          <w:rFonts w:ascii="Arial" w:hAnsi="Arial" w:cs="Arial"/>
          <w:sz w:val="16"/>
          <w:szCs w:val="16"/>
          <w:lang w:val="es-ES_tradnl" w:eastAsia="ja-JP"/>
        </w:rPr>
        <w:t xml:space="preserve">.000 </w:t>
      </w:r>
      <w:r w:rsidR="00F01CEA">
        <w:rPr>
          <w:rFonts w:ascii="Arial" w:hAnsi="Arial" w:cs="Arial"/>
          <w:sz w:val="16"/>
          <w:szCs w:val="16"/>
          <w:lang w:val="es-ES_tradnl" w:eastAsia="ja-JP"/>
        </w:rPr>
        <w:t>profesionales, de los cuales 145</w:t>
      </w:r>
      <w:r w:rsidRPr="006B258D">
        <w:rPr>
          <w:rFonts w:ascii="Arial" w:hAnsi="Arial" w:cs="Arial"/>
          <w:sz w:val="16"/>
          <w:szCs w:val="16"/>
          <w:lang w:val="es-ES_tradnl" w:eastAsia="ja-JP"/>
        </w:rPr>
        <w:t>.000 se encuentran en Europa</w:t>
      </w:r>
      <w:r w:rsidRPr="00F01CEA">
        <w:rPr>
          <w:rFonts w:ascii="Arial" w:hAnsi="Arial" w:cs="Arial"/>
          <w:sz w:val="16"/>
          <w:szCs w:val="16"/>
          <w:lang w:val="es-ES_tradnl" w:eastAsia="ja-JP"/>
        </w:rPr>
        <w:t xml:space="preserve">. </w:t>
      </w:r>
      <w:r w:rsidR="00F01CEA" w:rsidRPr="00F01CEA">
        <w:rPr>
          <w:rFonts w:ascii="Arial" w:hAnsi="Arial" w:cs="Arial"/>
          <w:sz w:val="16"/>
          <w:szCs w:val="16"/>
          <w:lang w:val="es-ES_tradnl" w:eastAsia="ja-JP"/>
        </w:rPr>
        <w:t xml:space="preserve">El Grupo mantiene posiciones clave en sus tres grandes áreas de actividad: Domestic Markets e International Financial Services (cuya red de banca minorista y servicios financieros forma parte </w:t>
      </w:r>
      <w:r w:rsidR="00F01CEA" w:rsidRPr="00F01CEA">
        <w:rPr>
          <w:rFonts w:ascii="Arial" w:hAnsi="Arial" w:cs="Arial"/>
          <w:sz w:val="16"/>
          <w:szCs w:val="16"/>
          <w:lang w:val="es-ES_tradnl" w:eastAsia="ja-JP"/>
        </w:rPr>
        <w:lastRenderedPageBreak/>
        <w:t xml:space="preserve">de Retail Banking &amp; Services), así como Corporate &amp; Institutional Banking, que ofrece servicios a clientes corporativos e institucionales. El Grupo acompaña a sus clientes (particulares, empresarios, PYMEs, grandes empresas e instituciones) para ayudarles a realizar sus proyectos prestándoles servicios de financiación, inversión, ahorro y aseguramiento. En Europa, el Grupo tiene cuatro mercados domésticos (Bélgica, Francia, Italia y Luxemburgo) y BNP Paribas Personal Finance es número uno en crédito al consumo. BNP Paribas desarrolla su modelo integrado de banca minorista en los países de la cuenca mediterránea, Turquía, Europa del Este y dispone de una importante red en la costa oeste de EE.UU. Tanto en sus actividades de Corporate &amp; Institutional Banking como International Financial Services, BNP Paribas ocupa posiciones de liderazgo en Europa, tiene una gran presencia en América y una red sólida y con fuerte crecimiento en la región de Asia-Pacífico. </w:t>
      </w:r>
      <w:hyperlink r:id="rId14" w:history="1">
        <w:r w:rsidR="00F01CEA" w:rsidRPr="003E5589">
          <w:rPr>
            <w:rStyle w:val="Hipervnculo"/>
            <w:rFonts w:ascii="Arial" w:hAnsi="Arial" w:cs="Arial"/>
            <w:color w:val="00A76C"/>
            <w:sz w:val="16"/>
            <w:szCs w:val="16"/>
            <w:lang w:val="es-ES_tradnl" w:eastAsia="ja-JP"/>
          </w:rPr>
          <w:t>www.bnpparibas.es</w:t>
        </w:r>
      </w:hyperlink>
    </w:p>
    <w:p w14:paraId="04F4A6E6" w14:textId="77777777" w:rsidR="00FE512F" w:rsidRDefault="00FE512F" w:rsidP="003F52FB">
      <w:pPr>
        <w:shd w:val="clear" w:color="auto" w:fill="FFFFFF"/>
        <w:spacing w:after="0" w:line="240" w:lineRule="auto"/>
        <w:jc w:val="both"/>
        <w:rPr>
          <w:rStyle w:val="Hipervnculo"/>
          <w:rFonts w:ascii="Arial" w:hAnsi="Arial" w:cs="Arial"/>
          <w:lang w:val="en-US"/>
        </w:rPr>
      </w:pPr>
    </w:p>
    <w:sectPr w:rsidR="00FE512F">
      <w:headerReference w:type="default" r:id="rId15"/>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60F8C8" w14:textId="77777777" w:rsidR="00B8562F" w:rsidRDefault="00B8562F" w:rsidP="004F2FB3">
      <w:pPr>
        <w:spacing w:after="0" w:line="240" w:lineRule="auto"/>
      </w:pPr>
      <w:r>
        <w:separator/>
      </w:r>
    </w:p>
  </w:endnote>
  <w:endnote w:type="continuationSeparator" w:id="0">
    <w:p w14:paraId="714BA4DC" w14:textId="77777777" w:rsidR="00B8562F" w:rsidRDefault="00B8562F" w:rsidP="004F2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NPP Sans">
    <w:altName w:val="Times New Roman"/>
    <w:panose1 w:val="02000000000000000000"/>
    <w:charset w:val="00"/>
    <w:family w:val="modern"/>
    <w:notTrueType/>
    <w:pitch w:val="variable"/>
    <w:sig w:usb0="A00000AF" w:usb1="4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9646023"/>
      <w:docPartObj>
        <w:docPartGallery w:val="Page Numbers (Bottom of Page)"/>
        <w:docPartUnique/>
      </w:docPartObj>
    </w:sdtPr>
    <w:sdtEndPr/>
    <w:sdtContent>
      <w:p w14:paraId="4BE1E715" w14:textId="726BB8D1" w:rsidR="004F2FB3" w:rsidRDefault="004F2FB3">
        <w:pPr>
          <w:pStyle w:val="Piedepgina"/>
          <w:jc w:val="right"/>
        </w:pPr>
        <w:r>
          <w:fldChar w:fldCharType="begin"/>
        </w:r>
        <w:r>
          <w:instrText>PAGE   \* MERGEFORMAT</w:instrText>
        </w:r>
        <w:r>
          <w:fldChar w:fldCharType="separate"/>
        </w:r>
        <w:r w:rsidR="00A55765">
          <w:rPr>
            <w:noProof/>
          </w:rPr>
          <w:t>4</w:t>
        </w:r>
        <w:r>
          <w:fldChar w:fldCharType="end"/>
        </w:r>
      </w:p>
    </w:sdtContent>
  </w:sdt>
  <w:p w14:paraId="346ADD95" w14:textId="77777777" w:rsidR="004F2FB3" w:rsidRDefault="004F2FB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6F56D6" w14:textId="77777777" w:rsidR="00B8562F" w:rsidRDefault="00B8562F" w:rsidP="004F2FB3">
      <w:pPr>
        <w:spacing w:after="0" w:line="240" w:lineRule="auto"/>
      </w:pPr>
      <w:r>
        <w:separator/>
      </w:r>
    </w:p>
  </w:footnote>
  <w:footnote w:type="continuationSeparator" w:id="0">
    <w:p w14:paraId="0876D8EB" w14:textId="77777777" w:rsidR="00B8562F" w:rsidRDefault="00B8562F" w:rsidP="004F2F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6FF47" w14:textId="77777777" w:rsidR="00CA7362" w:rsidRDefault="00CA7362">
    <w:pPr>
      <w:pStyle w:val="Encabezado"/>
    </w:pPr>
    <w:r w:rsidRPr="00CA7362">
      <w:rPr>
        <w:noProof/>
        <w:lang w:eastAsia="es-ES"/>
      </w:rPr>
      <w:drawing>
        <wp:inline distT="0" distB="0" distL="0" distR="0" wp14:anchorId="0D13AD13" wp14:editId="46E36634">
          <wp:extent cx="1571625" cy="987773"/>
          <wp:effectExtent l="0" t="0" r="0" b="3175"/>
          <wp:docPr id="5" name="Image 5" descr="C:\Users\117754\Desktop\LOGO_ARVAL_MobilityObservatory\LOGO_ARVAL_MobilityObersvatory_VERT\LOGO_ARVAL_MobilityObserva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7754\Desktop\LOGO_ARVAL_MobilityObservatory\LOGO_ARVAL_MobilityObersvatory_VERT\LOGO_ARVAL_MobilityObservator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1625" cy="98777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254F39"/>
    <w:multiLevelType w:val="hybridMultilevel"/>
    <w:tmpl w:val="E604EED8"/>
    <w:lvl w:ilvl="0" w:tplc="9CC81D08">
      <w:start w:val="1"/>
      <w:numFmt w:val="bullet"/>
      <w:lvlText w:val="-"/>
      <w:lvlJc w:val="left"/>
      <w:pPr>
        <w:tabs>
          <w:tab w:val="num" w:pos="720"/>
        </w:tabs>
        <w:ind w:left="720" w:hanging="360"/>
      </w:pPr>
      <w:rPr>
        <w:rFonts w:ascii="Times New Roman" w:hAnsi="Times New Roman" w:hint="default"/>
      </w:rPr>
    </w:lvl>
    <w:lvl w:ilvl="1" w:tplc="FB3492C6" w:tentative="1">
      <w:start w:val="1"/>
      <w:numFmt w:val="bullet"/>
      <w:lvlText w:val="-"/>
      <w:lvlJc w:val="left"/>
      <w:pPr>
        <w:tabs>
          <w:tab w:val="num" w:pos="1440"/>
        </w:tabs>
        <w:ind w:left="1440" w:hanging="360"/>
      </w:pPr>
      <w:rPr>
        <w:rFonts w:ascii="Times New Roman" w:hAnsi="Times New Roman" w:hint="default"/>
      </w:rPr>
    </w:lvl>
    <w:lvl w:ilvl="2" w:tplc="3A38DBF6" w:tentative="1">
      <w:start w:val="1"/>
      <w:numFmt w:val="bullet"/>
      <w:lvlText w:val="-"/>
      <w:lvlJc w:val="left"/>
      <w:pPr>
        <w:tabs>
          <w:tab w:val="num" w:pos="2160"/>
        </w:tabs>
        <w:ind w:left="2160" w:hanging="360"/>
      </w:pPr>
      <w:rPr>
        <w:rFonts w:ascii="Times New Roman" w:hAnsi="Times New Roman" w:hint="default"/>
      </w:rPr>
    </w:lvl>
    <w:lvl w:ilvl="3" w:tplc="180E4790" w:tentative="1">
      <w:start w:val="1"/>
      <w:numFmt w:val="bullet"/>
      <w:lvlText w:val="-"/>
      <w:lvlJc w:val="left"/>
      <w:pPr>
        <w:tabs>
          <w:tab w:val="num" w:pos="2880"/>
        </w:tabs>
        <w:ind w:left="2880" w:hanging="360"/>
      </w:pPr>
      <w:rPr>
        <w:rFonts w:ascii="Times New Roman" w:hAnsi="Times New Roman" w:hint="default"/>
      </w:rPr>
    </w:lvl>
    <w:lvl w:ilvl="4" w:tplc="CBD661EA" w:tentative="1">
      <w:start w:val="1"/>
      <w:numFmt w:val="bullet"/>
      <w:lvlText w:val="-"/>
      <w:lvlJc w:val="left"/>
      <w:pPr>
        <w:tabs>
          <w:tab w:val="num" w:pos="3600"/>
        </w:tabs>
        <w:ind w:left="3600" w:hanging="360"/>
      </w:pPr>
      <w:rPr>
        <w:rFonts w:ascii="Times New Roman" w:hAnsi="Times New Roman" w:hint="default"/>
      </w:rPr>
    </w:lvl>
    <w:lvl w:ilvl="5" w:tplc="C998453E" w:tentative="1">
      <w:start w:val="1"/>
      <w:numFmt w:val="bullet"/>
      <w:lvlText w:val="-"/>
      <w:lvlJc w:val="left"/>
      <w:pPr>
        <w:tabs>
          <w:tab w:val="num" w:pos="4320"/>
        </w:tabs>
        <w:ind w:left="4320" w:hanging="360"/>
      </w:pPr>
      <w:rPr>
        <w:rFonts w:ascii="Times New Roman" w:hAnsi="Times New Roman" w:hint="default"/>
      </w:rPr>
    </w:lvl>
    <w:lvl w:ilvl="6" w:tplc="B672D592" w:tentative="1">
      <w:start w:val="1"/>
      <w:numFmt w:val="bullet"/>
      <w:lvlText w:val="-"/>
      <w:lvlJc w:val="left"/>
      <w:pPr>
        <w:tabs>
          <w:tab w:val="num" w:pos="5040"/>
        </w:tabs>
        <w:ind w:left="5040" w:hanging="360"/>
      </w:pPr>
      <w:rPr>
        <w:rFonts w:ascii="Times New Roman" w:hAnsi="Times New Roman" w:hint="default"/>
      </w:rPr>
    </w:lvl>
    <w:lvl w:ilvl="7" w:tplc="F9DE726A" w:tentative="1">
      <w:start w:val="1"/>
      <w:numFmt w:val="bullet"/>
      <w:lvlText w:val="-"/>
      <w:lvlJc w:val="left"/>
      <w:pPr>
        <w:tabs>
          <w:tab w:val="num" w:pos="5760"/>
        </w:tabs>
        <w:ind w:left="5760" w:hanging="360"/>
      </w:pPr>
      <w:rPr>
        <w:rFonts w:ascii="Times New Roman" w:hAnsi="Times New Roman" w:hint="default"/>
      </w:rPr>
    </w:lvl>
    <w:lvl w:ilvl="8" w:tplc="EDB8297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30BC57E6"/>
    <w:multiLevelType w:val="hybridMultilevel"/>
    <w:tmpl w:val="A8E25764"/>
    <w:lvl w:ilvl="0" w:tplc="0C0A0001">
      <w:start w:val="1"/>
      <w:numFmt w:val="bullet"/>
      <w:lvlText w:val=""/>
      <w:lvlJc w:val="left"/>
      <w:pPr>
        <w:ind w:left="480" w:hanging="360"/>
      </w:pPr>
      <w:rPr>
        <w:rFonts w:ascii="Symbol" w:hAnsi="Symbol" w:hint="default"/>
      </w:rPr>
    </w:lvl>
    <w:lvl w:ilvl="1" w:tplc="0C0A0003" w:tentative="1">
      <w:start w:val="1"/>
      <w:numFmt w:val="bullet"/>
      <w:lvlText w:val="o"/>
      <w:lvlJc w:val="left"/>
      <w:pPr>
        <w:ind w:left="1200" w:hanging="360"/>
      </w:pPr>
      <w:rPr>
        <w:rFonts w:ascii="Courier New" w:hAnsi="Courier New" w:cs="Courier New" w:hint="default"/>
      </w:rPr>
    </w:lvl>
    <w:lvl w:ilvl="2" w:tplc="0C0A0005" w:tentative="1">
      <w:start w:val="1"/>
      <w:numFmt w:val="bullet"/>
      <w:lvlText w:val=""/>
      <w:lvlJc w:val="left"/>
      <w:pPr>
        <w:ind w:left="1920" w:hanging="360"/>
      </w:pPr>
      <w:rPr>
        <w:rFonts w:ascii="Wingdings" w:hAnsi="Wingdings" w:hint="default"/>
      </w:rPr>
    </w:lvl>
    <w:lvl w:ilvl="3" w:tplc="0C0A0001" w:tentative="1">
      <w:start w:val="1"/>
      <w:numFmt w:val="bullet"/>
      <w:lvlText w:val=""/>
      <w:lvlJc w:val="left"/>
      <w:pPr>
        <w:ind w:left="2640" w:hanging="360"/>
      </w:pPr>
      <w:rPr>
        <w:rFonts w:ascii="Symbol" w:hAnsi="Symbol" w:hint="default"/>
      </w:rPr>
    </w:lvl>
    <w:lvl w:ilvl="4" w:tplc="0C0A0003" w:tentative="1">
      <w:start w:val="1"/>
      <w:numFmt w:val="bullet"/>
      <w:lvlText w:val="o"/>
      <w:lvlJc w:val="left"/>
      <w:pPr>
        <w:ind w:left="3360" w:hanging="360"/>
      </w:pPr>
      <w:rPr>
        <w:rFonts w:ascii="Courier New" w:hAnsi="Courier New" w:cs="Courier New" w:hint="default"/>
      </w:rPr>
    </w:lvl>
    <w:lvl w:ilvl="5" w:tplc="0C0A0005" w:tentative="1">
      <w:start w:val="1"/>
      <w:numFmt w:val="bullet"/>
      <w:lvlText w:val=""/>
      <w:lvlJc w:val="left"/>
      <w:pPr>
        <w:ind w:left="4080" w:hanging="360"/>
      </w:pPr>
      <w:rPr>
        <w:rFonts w:ascii="Wingdings" w:hAnsi="Wingdings" w:hint="default"/>
      </w:rPr>
    </w:lvl>
    <w:lvl w:ilvl="6" w:tplc="0C0A0001" w:tentative="1">
      <w:start w:val="1"/>
      <w:numFmt w:val="bullet"/>
      <w:lvlText w:val=""/>
      <w:lvlJc w:val="left"/>
      <w:pPr>
        <w:ind w:left="4800" w:hanging="360"/>
      </w:pPr>
      <w:rPr>
        <w:rFonts w:ascii="Symbol" w:hAnsi="Symbol" w:hint="default"/>
      </w:rPr>
    </w:lvl>
    <w:lvl w:ilvl="7" w:tplc="0C0A0003" w:tentative="1">
      <w:start w:val="1"/>
      <w:numFmt w:val="bullet"/>
      <w:lvlText w:val="o"/>
      <w:lvlJc w:val="left"/>
      <w:pPr>
        <w:ind w:left="5520" w:hanging="360"/>
      </w:pPr>
      <w:rPr>
        <w:rFonts w:ascii="Courier New" w:hAnsi="Courier New" w:cs="Courier New" w:hint="default"/>
      </w:rPr>
    </w:lvl>
    <w:lvl w:ilvl="8" w:tplc="0C0A0005" w:tentative="1">
      <w:start w:val="1"/>
      <w:numFmt w:val="bullet"/>
      <w:lvlText w:val=""/>
      <w:lvlJc w:val="left"/>
      <w:pPr>
        <w:ind w:left="6240" w:hanging="360"/>
      </w:pPr>
      <w:rPr>
        <w:rFonts w:ascii="Wingdings" w:hAnsi="Wingdings" w:hint="default"/>
      </w:rPr>
    </w:lvl>
  </w:abstractNum>
  <w:abstractNum w:abstractNumId="2" w15:restartNumberingAfterBreak="0">
    <w:nsid w:val="374341DD"/>
    <w:multiLevelType w:val="hybridMultilevel"/>
    <w:tmpl w:val="0994D66E"/>
    <w:lvl w:ilvl="0" w:tplc="D3E8004A">
      <w:start w:val="1"/>
      <w:numFmt w:val="bullet"/>
      <w:lvlText w:val="-"/>
      <w:lvlJc w:val="left"/>
      <w:pPr>
        <w:tabs>
          <w:tab w:val="num" w:pos="720"/>
        </w:tabs>
        <w:ind w:left="720" w:hanging="360"/>
      </w:pPr>
      <w:rPr>
        <w:rFonts w:ascii="Times New Roman" w:hAnsi="Times New Roman" w:hint="default"/>
      </w:rPr>
    </w:lvl>
    <w:lvl w:ilvl="1" w:tplc="60C623F6" w:tentative="1">
      <w:start w:val="1"/>
      <w:numFmt w:val="bullet"/>
      <w:lvlText w:val="-"/>
      <w:lvlJc w:val="left"/>
      <w:pPr>
        <w:tabs>
          <w:tab w:val="num" w:pos="1440"/>
        </w:tabs>
        <w:ind w:left="1440" w:hanging="360"/>
      </w:pPr>
      <w:rPr>
        <w:rFonts w:ascii="Times New Roman" w:hAnsi="Times New Roman" w:hint="default"/>
      </w:rPr>
    </w:lvl>
    <w:lvl w:ilvl="2" w:tplc="F7A06248" w:tentative="1">
      <w:start w:val="1"/>
      <w:numFmt w:val="bullet"/>
      <w:lvlText w:val="-"/>
      <w:lvlJc w:val="left"/>
      <w:pPr>
        <w:tabs>
          <w:tab w:val="num" w:pos="2160"/>
        </w:tabs>
        <w:ind w:left="2160" w:hanging="360"/>
      </w:pPr>
      <w:rPr>
        <w:rFonts w:ascii="Times New Roman" w:hAnsi="Times New Roman" w:hint="default"/>
      </w:rPr>
    </w:lvl>
    <w:lvl w:ilvl="3" w:tplc="C4F6A448" w:tentative="1">
      <w:start w:val="1"/>
      <w:numFmt w:val="bullet"/>
      <w:lvlText w:val="-"/>
      <w:lvlJc w:val="left"/>
      <w:pPr>
        <w:tabs>
          <w:tab w:val="num" w:pos="2880"/>
        </w:tabs>
        <w:ind w:left="2880" w:hanging="360"/>
      </w:pPr>
      <w:rPr>
        <w:rFonts w:ascii="Times New Roman" w:hAnsi="Times New Roman" w:hint="default"/>
      </w:rPr>
    </w:lvl>
    <w:lvl w:ilvl="4" w:tplc="CC9AE450" w:tentative="1">
      <w:start w:val="1"/>
      <w:numFmt w:val="bullet"/>
      <w:lvlText w:val="-"/>
      <w:lvlJc w:val="left"/>
      <w:pPr>
        <w:tabs>
          <w:tab w:val="num" w:pos="3600"/>
        </w:tabs>
        <w:ind w:left="3600" w:hanging="360"/>
      </w:pPr>
      <w:rPr>
        <w:rFonts w:ascii="Times New Roman" w:hAnsi="Times New Roman" w:hint="default"/>
      </w:rPr>
    </w:lvl>
    <w:lvl w:ilvl="5" w:tplc="5EF09E3C" w:tentative="1">
      <w:start w:val="1"/>
      <w:numFmt w:val="bullet"/>
      <w:lvlText w:val="-"/>
      <w:lvlJc w:val="left"/>
      <w:pPr>
        <w:tabs>
          <w:tab w:val="num" w:pos="4320"/>
        </w:tabs>
        <w:ind w:left="4320" w:hanging="360"/>
      </w:pPr>
      <w:rPr>
        <w:rFonts w:ascii="Times New Roman" w:hAnsi="Times New Roman" w:hint="default"/>
      </w:rPr>
    </w:lvl>
    <w:lvl w:ilvl="6" w:tplc="02FCC8CE" w:tentative="1">
      <w:start w:val="1"/>
      <w:numFmt w:val="bullet"/>
      <w:lvlText w:val="-"/>
      <w:lvlJc w:val="left"/>
      <w:pPr>
        <w:tabs>
          <w:tab w:val="num" w:pos="5040"/>
        </w:tabs>
        <w:ind w:left="5040" w:hanging="360"/>
      </w:pPr>
      <w:rPr>
        <w:rFonts w:ascii="Times New Roman" w:hAnsi="Times New Roman" w:hint="default"/>
      </w:rPr>
    </w:lvl>
    <w:lvl w:ilvl="7" w:tplc="01E622EA" w:tentative="1">
      <w:start w:val="1"/>
      <w:numFmt w:val="bullet"/>
      <w:lvlText w:val="-"/>
      <w:lvlJc w:val="left"/>
      <w:pPr>
        <w:tabs>
          <w:tab w:val="num" w:pos="5760"/>
        </w:tabs>
        <w:ind w:left="5760" w:hanging="360"/>
      </w:pPr>
      <w:rPr>
        <w:rFonts w:ascii="Times New Roman" w:hAnsi="Times New Roman" w:hint="default"/>
      </w:rPr>
    </w:lvl>
    <w:lvl w:ilvl="8" w:tplc="D126305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4CE3786E"/>
    <w:multiLevelType w:val="multilevel"/>
    <w:tmpl w:val="CB948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89F6C5A"/>
    <w:multiLevelType w:val="hybridMultilevel"/>
    <w:tmpl w:val="10F62628"/>
    <w:lvl w:ilvl="0" w:tplc="485C5380">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695F2043"/>
    <w:multiLevelType w:val="hybridMultilevel"/>
    <w:tmpl w:val="736A3C0C"/>
    <w:lvl w:ilvl="0" w:tplc="E13C446E">
      <w:start w:val="1"/>
      <w:numFmt w:val="decimal"/>
      <w:lvlText w:val="%1."/>
      <w:lvlJc w:val="left"/>
      <w:pPr>
        <w:ind w:left="720" w:hanging="360"/>
      </w:pPr>
      <w:rPr>
        <w:rFonts w:hint="default"/>
        <w:color w:val="00A76C"/>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696044FC"/>
    <w:multiLevelType w:val="hybridMultilevel"/>
    <w:tmpl w:val="1F72D6E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79A1710C"/>
    <w:multiLevelType w:val="hybridMultilevel"/>
    <w:tmpl w:val="59347C38"/>
    <w:lvl w:ilvl="0" w:tplc="0AFCC64E">
      <w:start w:val="1"/>
      <w:numFmt w:val="bullet"/>
      <w:lvlText w:val=""/>
      <w:lvlJc w:val="left"/>
      <w:pPr>
        <w:tabs>
          <w:tab w:val="num" w:pos="720"/>
        </w:tabs>
        <w:ind w:left="720" w:hanging="360"/>
      </w:pPr>
      <w:rPr>
        <w:rFonts w:ascii="Wingdings" w:hAnsi="Wingdings" w:hint="default"/>
      </w:rPr>
    </w:lvl>
    <w:lvl w:ilvl="1" w:tplc="1CE6F08A" w:tentative="1">
      <w:start w:val="1"/>
      <w:numFmt w:val="bullet"/>
      <w:lvlText w:val=""/>
      <w:lvlJc w:val="left"/>
      <w:pPr>
        <w:tabs>
          <w:tab w:val="num" w:pos="1440"/>
        </w:tabs>
        <w:ind w:left="1440" w:hanging="360"/>
      </w:pPr>
      <w:rPr>
        <w:rFonts w:ascii="Wingdings" w:hAnsi="Wingdings" w:hint="default"/>
      </w:rPr>
    </w:lvl>
    <w:lvl w:ilvl="2" w:tplc="7D104364" w:tentative="1">
      <w:start w:val="1"/>
      <w:numFmt w:val="bullet"/>
      <w:lvlText w:val=""/>
      <w:lvlJc w:val="left"/>
      <w:pPr>
        <w:tabs>
          <w:tab w:val="num" w:pos="2160"/>
        </w:tabs>
        <w:ind w:left="2160" w:hanging="360"/>
      </w:pPr>
      <w:rPr>
        <w:rFonts w:ascii="Wingdings" w:hAnsi="Wingdings" w:hint="default"/>
      </w:rPr>
    </w:lvl>
    <w:lvl w:ilvl="3" w:tplc="AA3EBC9C" w:tentative="1">
      <w:start w:val="1"/>
      <w:numFmt w:val="bullet"/>
      <w:lvlText w:val=""/>
      <w:lvlJc w:val="left"/>
      <w:pPr>
        <w:tabs>
          <w:tab w:val="num" w:pos="2880"/>
        </w:tabs>
        <w:ind w:left="2880" w:hanging="360"/>
      </w:pPr>
      <w:rPr>
        <w:rFonts w:ascii="Wingdings" w:hAnsi="Wingdings" w:hint="default"/>
      </w:rPr>
    </w:lvl>
    <w:lvl w:ilvl="4" w:tplc="212C0606" w:tentative="1">
      <w:start w:val="1"/>
      <w:numFmt w:val="bullet"/>
      <w:lvlText w:val=""/>
      <w:lvlJc w:val="left"/>
      <w:pPr>
        <w:tabs>
          <w:tab w:val="num" w:pos="3600"/>
        </w:tabs>
        <w:ind w:left="3600" w:hanging="360"/>
      </w:pPr>
      <w:rPr>
        <w:rFonts w:ascii="Wingdings" w:hAnsi="Wingdings" w:hint="default"/>
      </w:rPr>
    </w:lvl>
    <w:lvl w:ilvl="5" w:tplc="7B2EF828" w:tentative="1">
      <w:start w:val="1"/>
      <w:numFmt w:val="bullet"/>
      <w:lvlText w:val=""/>
      <w:lvlJc w:val="left"/>
      <w:pPr>
        <w:tabs>
          <w:tab w:val="num" w:pos="4320"/>
        </w:tabs>
        <w:ind w:left="4320" w:hanging="360"/>
      </w:pPr>
      <w:rPr>
        <w:rFonts w:ascii="Wingdings" w:hAnsi="Wingdings" w:hint="default"/>
      </w:rPr>
    </w:lvl>
    <w:lvl w:ilvl="6" w:tplc="A7F84818" w:tentative="1">
      <w:start w:val="1"/>
      <w:numFmt w:val="bullet"/>
      <w:lvlText w:val=""/>
      <w:lvlJc w:val="left"/>
      <w:pPr>
        <w:tabs>
          <w:tab w:val="num" w:pos="5040"/>
        </w:tabs>
        <w:ind w:left="5040" w:hanging="360"/>
      </w:pPr>
      <w:rPr>
        <w:rFonts w:ascii="Wingdings" w:hAnsi="Wingdings" w:hint="default"/>
      </w:rPr>
    </w:lvl>
    <w:lvl w:ilvl="7" w:tplc="274C08E6" w:tentative="1">
      <w:start w:val="1"/>
      <w:numFmt w:val="bullet"/>
      <w:lvlText w:val=""/>
      <w:lvlJc w:val="left"/>
      <w:pPr>
        <w:tabs>
          <w:tab w:val="num" w:pos="5760"/>
        </w:tabs>
        <w:ind w:left="5760" w:hanging="360"/>
      </w:pPr>
      <w:rPr>
        <w:rFonts w:ascii="Wingdings" w:hAnsi="Wingdings" w:hint="default"/>
      </w:rPr>
    </w:lvl>
    <w:lvl w:ilvl="8" w:tplc="B490AF52"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0"/>
  </w:num>
  <w:num w:numId="4">
    <w:abstractNumId w:val="7"/>
  </w:num>
  <w:num w:numId="5">
    <w:abstractNumId w:val="1"/>
  </w:num>
  <w:num w:numId="6">
    <w:abstractNumId w:val="4"/>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7BA8"/>
    <w:rsid w:val="00021AD2"/>
    <w:rsid w:val="0007039E"/>
    <w:rsid w:val="0007111E"/>
    <w:rsid w:val="00072DCF"/>
    <w:rsid w:val="0008529F"/>
    <w:rsid w:val="00087A9C"/>
    <w:rsid w:val="0009465E"/>
    <w:rsid w:val="000A5569"/>
    <w:rsid w:val="000A5B3F"/>
    <w:rsid w:val="000B7109"/>
    <w:rsid w:val="000C4A45"/>
    <w:rsid w:val="000D3DA2"/>
    <w:rsid w:val="00127B8D"/>
    <w:rsid w:val="00160692"/>
    <w:rsid w:val="001775A6"/>
    <w:rsid w:val="001821BE"/>
    <w:rsid w:val="001A17F6"/>
    <w:rsid w:val="001A221A"/>
    <w:rsid w:val="001B2862"/>
    <w:rsid w:val="001B7221"/>
    <w:rsid w:val="001C58B4"/>
    <w:rsid w:val="001D1742"/>
    <w:rsid w:val="001E0A42"/>
    <w:rsid w:val="001E5A8B"/>
    <w:rsid w:val="001E64E7"/>
    <w:rsid w:val="00205AF2"/>
    <w:rsid w:val="00226112"/>
    <w:rsid w:val="00244ABE"/>
    <w:rsid w:val="00256E2D"/>
    <w:rsid w:val="00264659"/>
    <w:rsid w:val="002853BE"/>
    <w:rsid w:val="002A5CD1"/>
    <w:rsid w:val="002B4DFF"/>
    <w:rsid w:val="002B6F8B"/>
    <w:rsid w:val="002F41D1"/>
    <w:rsid w:val="00343994"/>
    <w:rsid w:val="00350109"/>
    <w:rsid w:val="00360201"/>
    <w:rsid w:val="003A3722"/>
    <w:rsid w:val="003D40FC"/>
    <w:rsid w:val="003E5589"/>
    <w:rsid w:val="003F52FB"/>
    <w:rsid w:val="00405C38"/>
    <w:rsid w:val="00453FBA"/>
    <w:rsid w:val="004D6C6C"/>
    <w:rsid w:val="004F2FB3"/>
    <w:rsid w:val="00505851"/>
    <w:rsid w:val="00510A90"/>
    <w:rsid w:val="0057448E"/>
    <w:rsid w:val="005C3932"/>
    <w:rsid w:val="005D2316"/>
    <w:rsid w:val="005F3031"/>
    <w:rsid w:val="005F31E8"/>
    <w:rsid w:val="00657E3F"/>
    <w:rsid w:val="006B258D"/>
    <w:rsid w:val="006D7BA8"/>
    <w:rsid w:val="00701572"/>
    <w:rsid w:val="00715D3D"/>
    <w:rsid w:val="00732996"/>
    <w:rsid w:val="00741E31"/>
    <w:rsid w:val="00742CFF"/>
    <w:rsid w:val="00743B70"/>
    <w:rsid w:val="007517A5"/>
    <w:rsid w:val="00795A43"/>
    <w:rsid w:val="007A27AD"/>
    <w:rsid w:val="007F625A"/>
    <w:rsid w:val="007F7211"/>
    <w:rsid w:val="0085364B"/>
    <w:rsid w:val="00864966"/>
    <w:rsid w:val="0089778F"/>
    <w:rsid w:val="008B621B"/>
    <w:rsid w:val="008C7B7B"/>
    <w:rsid w:val="008E2CAE"/>
    <w:rsid w:val="00967CA6"/>
    <w:rsid w:val="00973B75"/>
    <w:rsid w:val="0098529E"/>
    <w:rsid w:val="009A4397"/>
    <w:rsid w:val="009D00FA"/>
    <w:rsid w:val="009E72A3"/>
    <w:rsid w:val="009F554B"/>
    <w:rsid w:val="009F755F"/>
    <w:rsid w:val="00A247EA"/>
    <w:rsid w:val="00A27347"/>
    <w:rsid w:val="00A30C94"/>
    <w:rsid w:val="00A52B02"/>
    <w:rsid w:val="00A55765"/>
    <w:rsid w:val="00A70825"/>
    <w:rsid w:val="00A97B11"/>
    <w:rsid w:val="00AB46D2"/>
    <w:rsid w:val="00AB7324"/>
    <w:rsid w:val="00AC1C07"/>
    <w:rsid w:val="00AC5A94"/>
    <w:rsid w:val="00AE06E6"/>
    <w:rsid w:val="00B42904"/>
    <w:rsid w:val="00B44B5A"/>
    <w:rsid w:val="00B76E2C"/>
    <w:rsid w:val="00B8562F"/>
    <w:rsid w:val="00B94E6A"/>
    <w:rsid w:val="00BB0DC3"/>
    <w:rsid w:val="00BB5D4B"/>
    <w:rsid w:val="00BD5F1A"/>
    <w:rsid w:val="00BF4B1B"/>
    <w:rsid w:val="00CA577F"/>
    <w:rsid w:val="00CA7362"/>
    <w:rsid w:val="00D93F30"/>
    <w:rsid w:val="00D95F68"/>
    <w:rsid w:val="00DC1711"/>
    <w:rsid w:val="00DD0442"/>
    <w:rsid w:val="00DE4F1D"/>
    <w:rsid w:val="00DF4D1D"/>
    <w:rsid w:val="00E02848"/>
    <w:rsid w:val="00E11AA2"/>
    <w:rsid w:val="00E44AD1"/>
    <w:rsid w:val="00E46EC0"/>
    <w:rsid w:val="00E4701F"/>
    <w:rsid w:val="00E642F7"/>
    <w:rsid w:val="00E73BDB"/>
    <w:rsid w:val="00ED54AA"/>
    <w:rsid w:val="00F00119"/>
    <w:rsid w:val="00F01CEA"/>
    <w:rsid w:val="00F12504"/>
    <w:rsid w:val="00F3592C"/>
    <w:rsid w:val="00F576F9"/>
    <w:rsid w:val="00F67B3F"/>
    <w:rsid w:val="00F779CE"/>
    <w:rsid w:val="00F85978"/>
    <w:rsid w:val="00F85FC4"/>
    <w:rsid w:val="00F87DE9"/>
    <w:rsid w:val="00FC5BC7"/>
    <w:rsid w:val="00FE17BC"/>
    <w:rsid w:val="00FE512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9D4FD5"/>
  <w15:chartTrackingRefBased/>
  <w15:docId w15:val="{4F0B746D-499B-4FF9-8561-3787093B6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
    </w:rPr>
  </w:style>
  <w:style w:type="paragraph" w:styleId="Ttulo1">
    <w:name w:val="heading 1"/>
    <w:basedOn w:val="Normal"/>
    <w:next w:val="Normal"/>
    <w:link w:val="Ttulo1Car"/>
    <w:uiPriority w:val="9"/>
    <w:qFormat/>
    <w:rsid w:val="00E4701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uiPriority w:val="9"/>
    <w:qFormat/>
    <w:rsid w:val="006D7BA8"/>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6D7BA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Textoennegrita">
    <w:name w:val="Strong"/>
    <w:basedOn w:val="Fuentedeprrafopredeter"/>
    <w:uiPriority w:val="22"/>
    <w:qFormat/>
    <w:rsid w:val="006D7BA8"/>
    <w:rPr>
      <w:b/>
      <w:bCs/>
    </w:rPr>
  </w:style>
  <w:style w:type="character" w:customStyle="1" w:styleId="Ttulo2Car">
    <w:name w:val="Título 2 Car"/>
    <w:basedOn w:val="Fuentedeprrafopredeter"/>
    <w:link w:val="Ttulo2"/>
    <w:uiPriority w:val="9"/>
    <w:rsid w:val="006D7BA8"/>
    <w:rPr>
      <w:rFonts w:ascii="Times New Roman" w:eastAsia="Times New Roman" w:hAnsi="Times New Roman" w:cs="Times New Roman"/>
      <w:b/>
      <w:bCs/>
      <w:sz w:val="36"/>
      <w:szCs w:val="36"/>
      <w:lang w:eastAsia="fr-FR"/>
    </w:rPr>
  </w:style>
  <w:style w:type="paragraph" w:customStyle="1" w:styleId="texteok">
    <w:name w:val="texteok"/>
    <w:basedOn w:val="Normal"/>
    <w:rsid w:val="006D7BA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Refdecomentario">
    <w:name w:val="annotation reference"/>
    <w:basedOn w:val="Fuentedeprrafopredeter"/>
    <w:uiPriority w:val="99"/>
    <w:semiHidden/>
    <w:unhideWhenUsed/>
    <w:rsid w:val="0008529F"/>
    <w:rPr>
      <w:sz w:val="16"/>
      <w:szCs w:val="16"/>
    </w:rPr>
  </w:style>
  <w:style w:type="paragraph" w:styleId="Textocomentario">
    <w:name w:val="annotation text"/>
    <w:basedOn w:val="Normal"/>
    <w:link w:val="TextocomentarioCar"/>
    <w:uiPriority w:val="99"/>
    <w:semiHidden/>
    <w:unhideWhenUsed/>
    <w:rsid w:val="0008529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8529F"/>
    <w:rPr>
      <w:sz w:val="20"/>
      <w:szCs w:val="20"/>
    </w:rPr>
  </w:style>
  <w:style w:type="paragraph" w:styleId="Asuntodelcomentario">
    <w:name w:val="annotation subject"/>
    <w:basedOn w:val="Textocomentario"/>
    <w:next w:val="Textocomentario"/>
    <w:link w:val="AsuntodelcomentarioCar"/>
    <w:uiPriority w:val="99"/>
    <w:semiHidden/>
    <w:unhideWhenUsed/>
    <w:rsid w:val="0008529F"/>
    <w:rPr>
      <w:b/>
      <w:bCs/>
    </w:rPr>
  </w:style>
  <w:style w:type="character" w:customStyle="1" w:styleId="AsuntodelcomentarioCar">
    <w:name w:val="Asunto del comentario Car"/>
    <w:basedOn w:val="TextocomentarioCar"/>
    <w:link w:val="Asuntodelcomentario"/>
    <w:uiPriority w:val="99"/>
    <w:semiHidden/>
    <w:rsid w:val="0008529F"/>
    <w:rPr>
      <w:b/>
      <w:bCs/>
      <w:sz w:val="20"/>
      <w:szCs w:val="20"/>
    </w:rPr>
  </w:style>
  <w:style w:type="paragraph" w:styleId="Textodeglobo">
    <w:name w:val="Balloon Text"/>
    <w:basedOn w:val="Normal"/>
    <w:link w:val="TextodegloboCar"/>
    <w:uiPriority w:val="99"/>
    <w:semiHidden/>
    <w:unhideWhenUsed/>
    <w:rsid w:val="000852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8529F"/>
    <w:rPr>
      <w:rFonts w:ascii="Segoe UI" w:hAnsi="Segoe UI" w:cs="Segoe UI"/>
      <w:sz w:val="18"/>
      <w:szCs w:val="18"/>
    </w:rPr>
  </w:style>
  <w:style w:type="character" w:customStyle="1" w:styleId="Ttulo1Car">
    <w:name w:val="Título 1 Car"/>
    <w:basedOn w:val="Fuentedeprrafopredeter"/>
    <w:link w:val="Ttulo1"/>
    <w:uiPriority w:val="9"/>
    <w:rsid w:val="00E4701F"/>
    <w:rPr>
      <w:rFonts w:asciiTheme="majorHAnsi" w:eastAsiaTheme="majorEastAsia" w:hAnsiTheme="majorHAnsi" w:cstheme="majorBidi"/>
      <w:color w:val="2E74B5" w:themeColor="accent1" w:themeShade="BF"/>
      <w:sz w:val="32"/>
      <w:szCs w:val="32"/>
    </w:rPr>
  </w:style>
  <w:style w:type="character" w:styleId="Hipervnculo">
    <w:name w:val="Hyperlink"/>
    <w:basedOn w:val="Fuentedeprrafopredeter"/>
    <w:uiPriority w:val="99"/>
    <w:unhideWhenUsed/>
    <w:rsid w:val="009F755F"/>
    <w:rPr>
      <w:color w:val="0563C1" w:themeColor="hyperlink"/>
      <w:u w:val="single"/>
    </w:rPr>
  </w:style>
  <w:style w:type="paragraph" w:styleId="Encabezado">
    <w:name w:val="header"/>
    <w:basedOn w:val="Normal"/>
    <w:link w:val="EncabezadoCar"/>
    <w:uiPriority w:val="99"/>
    <w:unhideWhenUsed/>
    <w:rsid w:val="004F2FB3"/>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4F2FB3"/>
  </w:style>
  <w:style w:type="paragraph" w:styleId="Piedepgina">
    <w:name w:val="footer"/>
    <w:basedOn w:val="Normal"/>
    <w:link w:val="PiedepginaCar"/>
    <w:uiPriority w:val="99"/>
    <w:unhideWhenUsed/>
    <w:rsid w:val="004F2FB3"/>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4F2FB3"/>
  </w:style>
  <w:style w:type="paragraph" w:styleId="Prrafodelista">
    <w:name w:val="List Paragraph"/>
    <w:basedOn w:val="Normal"/>
    <w:uiPriority w:val="34"/>
    <w:qFormat/>
    <w:rsid w:val="00244A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810679">
      <w:bodyDiv w:val="1"/>
      <w:marLeft w:val="0"/>
      <w:marRight w:val="0"/>
      <w:marTop w:val="0"/>
      <w:marBottom w:val="0"/>
      <w:divBdr>
        <w:top w:val="none" w:sz="0" w:space="0" w:color="auto"/>
        <w:left w:val="none" w:sz="0" w:space="0" w:color="auto"/>
        <w:bottom w:val="none" w:sz="0" w:space="0" w:color="auto"/>
        <w:right w:val="none" w:sz="0" w:space="0" w:color="auto"/>
      </w:divBdr>
    </w:div>
    <w:div w:id="377360665">
      <w:bodyDiv w:val="1"/>
      <w:marLeft w:val="0"/>
      <w:marRight w:val="0"/>
      <w:marTop w:val="0"/>
      <w:marBottom w:val="0"/>
      <w:divBdr>
        <w:top w:val="none" w:sz="0" w:space="0" w:color="auto"/>
        <w:left w:val="none" w:sz="0" w:space="0" w:color="auto"/>
        <w:bottom w:val="none" w:sz="0" w:space="0" w:color="auto"/>
        <w:right w:val="none" w:sz="0" w:space="0" w:color="auto"/>
      </w:divBdr>
      <w:divsChild>
        <w:div w:id="729110164">
          <w:marLeft w:val="446"/>
          <w:marRight w:val="0"/>
          <w:marTop w:val="240"/>
          <w:marBottom w:val="0"/>
          <w:divBdr>
            <w:top w:val="none" w:sz="0" w:space="0" w:color="auto"/>
            <w:left w:val="none" w:sz="0" w:space="0" w:color="auto"/>
            <w:bottom w:val="none" w:sz="0" w:space="0" w:color="auto"/>
            <w:right w:val="none" w:sz="0" w:space="0" w:color="auto"/>
          </w:divBdr>
        </w:div>
      </w:divsChild>
    </w:div>
    <w:div w:id="840781204">
      <w:bodyDiv w:val="1"/>
      <w:marLeft w:val="0"/>
      <w:marRight w:val="0"/>
      <w:marTop w:val="0"/>
      <w:marBottom w:val="0"/>
      <w:divBdr>
        <w:top w:val="none" w:sz="0" w:space="0" w:color="auto"/>
        <w:left w:val="none" w:sz="0" w:space="0" w:color="auto"/>
        <w:bottom w:val="none" w:sz="0" w:space="0" w:color="auto"/>
        <w:right w:val="none" w:sz="0" w:space="0" w:color="auto"/>
      </w:divBdr>
      <w:divsChild>
        <w:div w:id="2104455633">
          <w:marLeft w:val="446"/>
          <w:marRight w:val="0"/>
          <w:marTop w:val="120"/>
          <w:marBottom w:val="0"/>
          <w:divBdr>
            <w:top w:val="none" w:sz="0" w:space="0" w:color="auto"/>
            <w:left w:val="none" w:sz="0" w:space="0" w:color="auto"/>
            <w:bottom w:val="none" w:sz="0" w:space="0" w:color="auto"/>
            <w:right w:val="none" w:sz="0" w:space="0" w:color="auto"/>
          </w:divBdr>
        </w:div>
        <w:div w:id="2084914452">
          <w:marLeft w:val="446"/>
          <w:marRight w:val="0"/>
          <w:marTop w:val="120"/>
          <w:marBottom w:val="0"/>
          <w:divBdr>
            <w:top w:val="none" w:sz="0" w:space="0" w:color="auto"/>
            <w:left w:val="none" w:sz="0" w:space="0" w:color="auto"/>
            <w:bottom w:val="none" w:sz="0" w:space="0" w:color="auto"/>
            <w:right w:val="none" w:sz="0" w:space="0" w:color="auto"/>
          </w:divBdr>
        </w:div>
      </w:divsChild>
    </w:div>
    <w:div w:id="973945761">
      <w:bodyDiv w:val="1"/>
      <w:marLeft w:val="0"/>
      <w:marRight w:val="0"/>
      <w:marTop w:val="0"/>
      <w:marBottom w:val="0"/>
      <w:divBdr>
        <w:top w:val="none" w:sz="0" w:space="0" w:color="auto"/>
        <w:left w:val="none" w:sz="0" w:space="0" w:color="auto"/>
        <w:bottom w:val="none" w:sz="0" w:space="0" w:color="auto"/>
        <w:right w:val="none" w:sz="0" w:space="0" w:color="auto"/>
      </w:divBdr>
    </w:div>
    <w:div w:id="1008674941">
      <w:bodyDiv w:val="1"/>
      <w:marLeft w:val="0"/>
      <w:marRight w:val="0"/>
      <w:marTop w:val="0"/>
      <w:marBottom w:val="0"/>
      <w:divBdr>
        <w:top w:val="none" w:sz="0" w:space="0" w:color="auto"/>
        <w:left w:val="none" w:sz="0" w:space="0" w:color="auto"/>
        <w:bottom w:val="none" w:sz="0" w:space="0" w:color="auto"/>
        <w:right w:val="none" w:sz="0" w:space="0" w:color="auto"/>
      </w:divBdr>
    </w:div>
    <w:div w:id="1014113134">
      <w:bodyDiv w:val="1"/>
      <w:marLeft w:val="0"/>
      <w:marRight w:val="0"/>
      <w:marTop w:val="0"/>
      <w:marBottom w:val="0"/>
      <w:divBdr>
        <w:top w:val="none" w:sz="0" w:space="0" w:color="auto"/>
        <w:left w:val="none" w:sz="0" w:space="0" w:color="auto"/>
        <w:bottom w:val="none" w:sz="0" w:space="0" w:color="auto"/>
        <w:right w:val="none" w:sz="0" w:space="0" w:color="auto"/>
      </w:divBdr>
      <w:divsChild>
        <w:div w:id="772630864">
          <w:marLeft w:val="0"/>
          <w:marRight w:val="0"/>
          <w:marTop w:val="0"/>
          <w:marBottom w:val="0"/>
          <w:divBdr>
            <w:top w:val="none" w:sz="0" w:space="0" w:color="auto"/>
            <w:left w:val="none" w:sz="0" w:space="0" w:color="auto"/>
            <w:bottom w:val="none" w:sz="0" w:space="0" w:color="auto"/>
            <w:right w:val="none" w:sz="0" w:space="0" w:color="auto"/>
          </w:divBdr>
        </w:div>
        <w:div w:id="1164979488">
          <w:marLeft w:val="0"/>
          <w:marRight w:val="0"/>
          <w:marTop w:val="0"/>
          <w:marBottom w:val="0"/>
          <w:divBdr>
            <w:top w:val="none" w:sz="0" w:space="0" w:color="auto"/>
            <w:left w:val="none" w:sz="0" w:space="0" w:color="auto"/>
            <w:bottom w:val="none" w:sz="0" w:space="0" w:color="auto"/>
            <w:right w:val="none" w:sz="0" w:space="0" w:color="auto"/>
          </w:divBdr>
          <w:divsChild>
            <w:div w:id="1206671872">
              <w:marLeft w:val="0"/>
              <w:marRight w:val="0"/>
              <w:marTop w:val="0"/>
              <w:marBottom w:val="0"/>
              <w:divBdr>
                <w:top w:val="none" w:sz="0" w:space="0" w:color="auto"/>
                <w:left w:val="none" w:sz="0" w:space="0" w:color="auto"/>
                <w:bottom w:val="none" w:sz="0" w:space="0" w:color="auto"/>
                <w:right w:val="none" w:sz="0" w:space="0" w:color="auto"/>
              </w:divBdr>
              <w:divsChild>
                <w:div w:id="758255389">
                  <w:marLeft w:val="0"/>
                  <w:marRight w:val="0"/>
                  <w:marTop w:val="0"/>
                  <w:marBottom w:val="0"/>
                  <w:divBdr>
                    <w:top w:val="none" w:sz="0" w:space="0" w:color="auto"/>
                    <w:left w:val="none" w:sz="0" w:space="0" w:color="auto"/>
                    <w:bottom w:val="none" w:sz="0" w:space="0" w:color="auto"/>
                    <w:right w:val="none" w:sz="0" w:space="0" w:color="auto"/>
                  </w:divBdr>
                  <w:divsChild>
                    <w:div w:id="4182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664132">
      <w:bodyDiv w:val="1"/>
      <w:marLeft w:val="0"/>
      <w:marRight w:val="0"/>
      <w:marTop w:val="0"/>
      <w:marBottom w:val="0"/>
      <w:divBdr>
        <w:top w:val="none" w:sz="0" w:space="0" w:color="auto"/>
        <w:left w:val="none" w:sz="0" w:space="0" w:color="auto"/>
        <w:bottom w:val="none" w:sz="0" w:space="0" w:color="auto"/>
        <w:right w:val="none" w:sz="0" w:space="0" w:color="auto"/>
      </w:divBdr>
    </w:div>
    <w:div w:id="1422219416">
      <w:bodyDiv w:val="1"/>
      <w:marLeft w:val="0"/>
      <w:marRight w:val="0"/>
      <w:marTop w:val="0"/>
      <w:marBottom w:val="0"/>
      <w:divBdr>
        <w:top w:val="none" w:sz="0" w:space="0" w:color="auto"/>
        <w:left w:val="none" w:sz="0" w:space="0" w:color="auto"/>
        <w:bottom w:val="none" w:sz="0" w:space="0" w:color="auto"/>
        <w:right w:val="none" w:sz="0" w:space="0" w:color="auto"/>
      </w:divBdr>
    </w:div>
    <w:div w:id="1454834482">
      <w:bodyDiv w:val="1"/>
      <w:marLeft w:val="0"/>
      <w:marRight w:val="0"/>
      <w:marTop w:val="0"/>
      <w:marBottom w:val="0"/>
      <w:divBdr>
        <w:top w:val="none" w:sz="0" w:space="0" w:color="auto"/>
        <w:left w:val="none" w:sz="0" w:space="0" w:color="auto"/>
        <w:bottom w:val="none" w:sz="0" w:space="0" w:color="auto"/>
        <w:right w:val="none" w:sz="0" w:space="0" w:color="auto"/>
      </w:divBdr>
      <w:divsChild>
        <w:div w:id="172304418">
          <w:marLeft w:val="446"/>
          <w:marRight w:val="0"/>
          <w:marTop w:val="120"/>
          <w:marBottom w:val="0"/>
          <w:divBdr>
            <w:top w:val="none" w:sz="0" w:space="0" w:color="auto"/>
            <w:left w:val="none" w:sz="0" w:space="0" w:color="auto"/>
            <w:bottom w:val="none" w:sz="0" w:space="0" w:color="auto"/>
            <w:right w:val="none" w:sz="0" w:space="0" w:color="auto"/>
          </w:divBdr>
        </w:div>
        <w:div w:id="1398818026">
          <w:marLeft w:val="446"/>
          <w:marRight w:val="0"/>
          <w:marTop w:val="120"/>
          <w:marBottom w:val="0"/>
          <w:divBdr>
            <w:top w:val="none" w:sz="0" w:space="0" w:color="auto"/>
            <w:left w:val="none" w:sz="0" w:space="0" w:color="auto"/>
            <w:bottom w:val="none" w:sz="0" w:space="0" w:color="auto"/>
            <w:right w:val="none" w:sz="0" w:space="0" w:color="auto"/>
          </w:divBdr>
        </w:div>
      </w:divsChild>
    </w:div>
    <w:div w:id="1463887403">
      <w:bodyDiv w:val="1"/>
      <w:marLeft w:val="0"/>
      <w:marRight w:val="0"/>
      <w:marTop w:val="0"/>
      <w:marBottom w:val="0"/>
      <w:divBdr>
        <w:top w:val="none" w:sz="0" w:space="0" w:color="auto"/>
        <w:left w:val="none" w:sz="0" w:space="0" w:color="auto"/>
        <w:bottom w:val="none" w:sz="0" w:space="0" w:color="auto"/>
        <w:right w:val="none" w:sz="0" w:space="0" w:color="auto"/>
      </w:divBdr>
    </w:div>
    <w:div w:id="1486705275">
      <w:bodyDiv w:val="1"/>
      <w:marLeft w:val="0"/>
      <w:marRight w:val="0"/>
      <w:marTop w:val="0"/>
      <w:marBottom w:val="0"/>
      <w:divBdr>
        <w:top w:val="none" w:sz="0" w:space="0" w:color="auto"/>
        <w:left w:val="none" w:sz="0" w:space="0" w:color="auto"/>
        <w:bottom w:val="none" w:sz="0" w:space="0" w:color="auto"/>
        <w:right w:val="none" w:sz="0" w:space="0" w:color="auto"/>
      </w:divBdr>
    </w:div>
    <w:div w:id="1529417708">
      <w:bodyDiv w:val="1"/>
      <w:marLeft w:val="0"/>
      <w:marRight w:val="0"/>
      <w:marTop w:val="0"/>
      <w:marBottom w:val="0"/>
      <w:divBdr>
        <w:top w:val="none" w:sz="0" w:space="0" w:color="auto"/>
        <w:left w:val="none" w:sz="0" w:space="0" w:color="auto"/>
        <w:bottom w:val="none" w:sz="0" w:space="0" w:color="auto"/>
        <w:right w:val="none" w:sz="0" w:space="0" w:color="auto"/>
      </w:divBdr>
    </w:div>
    <w:div w:id="2008820429">
      <w:bodyDiv w:val="1"/>
      <w:marLeft w:val="0"/>
      <w:marRight w:val="0"/>
      <w:marTop w:val="0"/>
      <w:marBottom w:val="0"/>
      <w:divBdr>
        <w:top w:val="none" w:sz="0" w:space="0" w:color="auto"/>
        <w:left w:val="none" w:sz="0" w:space="0" w:color="auto"/>
        <w:bottom w:val="none" w:sz="0" w:space="0" w:color="auto"/>
        <w:right w:val="none" w:sz="0" w:space="0" w:color="auto"/>
      </w:divBdr>
      <w:divsChild>
        <w:div w:id="519008180">
          <w:marLeft w:val="446"/>
          <w:marRight w:val="0"/>
          <w:marTop w:val="240"/>
          <w:marBottom w:val="0"/>
          <w:divBdr>
            <w:top w:val="none" w:sz="0" w:space="0" w:color="auto"/>
            <w:left w:val="none" w:sz="0" w:space="0" w:color="auto"/>
            <w:bottom w:val="none" w:sz="0" w:space="0" w:color="auto"/>
            <w:right w:val="none" w:sz="0" w:space="0" w:color="auto"/>
          </w:divBdr>
        </w:div>
      </w:divsChild>
    </w:div>
    <w:div w:id="2054889835">
      <w:bodyDiv w:val="1"/>
      <w:marLeft w:val="0"/>
      <w:marRight w:val="0"/>
      <w:marTop w:val="0"/>
      <w:marBottom w:val="0"/>
      <w:divBdr>
        <w:top w:val="none" w:sz="0" w:space="0" w:color="auto"/>
        <w:left w:val="none" w:sz="0" w:space="0" w:color="auto"/>
        <w:bottom w:val="none" w:sz="0" w:space="0" w:color="auto"/>
        <w:right w:val="none" w:sz="0" w:space="0" w:color="auto"/>
      </w:divBdr>
      <w:divsChild>
        <w:div w:id="1926986659">
          <w:marLeft w:val="446"/>
          <w:marRight w:val="0"/>
          <w:marTop w:val="120"/>
          <w:marBottom w:val="0"/>
          <w:divBdr>
            <w:top w:val="none" w:sz="0" w:space="0" w:color="auto"/>
            <w:left w:val="none" w:sz="0" w:space="0" w:color="auto"/>
            <w:bottom w:val="none" w:sz="0" w:space="0" w:color="auto"/>
            <w:right w:val="none" w:sz="0" w:space="0" w:color="auto"/>
          </w:divBdr>
        </w:div>
        <w:div w:id="1661226206">
          <w:marLeft w:val="446"/>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bility-observatory.arval.com" TargetMode="External"/><Relationship Id="rId13" Type="http://schemas.openxmlformats.org/officeDocument/2006/relationships/hyperlink" Target="http://www.bnpparibas.es/e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ara.moran@arval.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vier.arus@arval.e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arval.es" TargetMode="External"/><Relationship Id="rId4" Type="http://schemas.openxmlformats.org/officeDocument/2006/relationships/settings" Target="settings.xml"/><Relationship Id="rId9" Type="http://schemas.openxmlformats.org/officeDocument/2006/relationships/hyperlink" Target="http://www.arval.com" TargetMode="External"/><Relationship Id="rId14" Type="http://schemas.openxmlformats.org/officeDocument/2006/relationships/hyperlink" Target="http://www.bnppariba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D930A2-B001-4FA4-9F6B-47B7935E7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1536</Words>
  <Characters>8448</Characters>
  <Application>Microsoft Office Word</Application>
  <DocSecurity>0</DocSecurity>
  <Lines>70</Lines>
  <Paragraphs>19</Paragraphs>
  <ScaleCrop>false</ScaleCrop>
  <HeadingPairs>
    <vt:vector size="6" baseType="variant">
      <vt:variant>
        <vt:lpstr>Título</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ARVAL BNP PARIBAS</Company>
  <LinksUpToDate>false</LinksUpToDate>
  <CharactersWithSpaces>9965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BENNATHAN Yael</dc:creator>
  <cp:keywords/>
  <dc:description/>
  <cp:lastModifiedBy>GARCIA Rodrigo</cp:lastModifiedBy>
  <cp:revision>2</cp:revision>
  <dcterms:created xsi:type="dcterms:W3CDTF">2023-02-06T16:32:00Z</dcterms:created>
  <dcterms:modified xsi:type="dcterms:W3CDTF">2023-02-06T16:32:00Z</dcterms:modified>
</cp:coreProperties>
</file>